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LearnHub — Solution Architecture</w:t>
      </w:r>
    </w:p>
    <w:p>
      <w:pPr>
        <w:spacing w:after="240"/>
      </w:pPr>
      <w:r>
        <w:rPr>
          <w:i/>
          <w:iCs/>
          <w:color w:val="555555"/>
        </w:rPr>
        <w:t xml:space="preserve">Principal Solution Architecture document, prepared from the repository as built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1"/>
        <w:gridCol w:w="8115"/>
      </w:tblGrid>
      <w:tr>
        <w:trPr>
          <w:cantSplit/>
          <w:tblHeader w:val="off"/>
        </w:trPr>
        <w:tc>
          <w:tcPr>
            <w:tcW w:type="dxa" w:w="16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811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Solution Architecture: current state, target state and migration path</w:t>
            </w:r>
          </w:p>
        </w:tc>
      </w:tr>
      <w:tr>
        <w:trPr>
          <w:cantSplit/>
          <w:tblHeader w:val="off"/>
        </w:trPr>
        <w:tc>
          <w:tcPr>
            <w:tcW w:type="dxa" w:w="16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W w:type="dxa" w:w="811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LearnHub, an online learning platform (B2C web application)</w:t>
            </w:r>
          </w:p>
        </w:tc>
      </w:tr>
      <w:tr>
        <w:trPr>
          <w:cantSplit/>
          <w:tblHeader w:val="off"/>
        </w:trPr>
        <w:tc>
          <w:tcPr>
            <w:tcW w:type="dxa" w:w="16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811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1.0 (2026-10-20)</w:t>
            </w:r>
          </w:p>
        </w:tc>
      </w:tr>
      <w:tr>
        <w:trPr>
          <w:cantSplit/>
          <w:tblHeader w:val="off"/>
        </w:trPr>
        <w:tc>
          <w:tcPr>
            <w:tcW w:type="dxa" w:w="16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811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master</w:t>
            </w:r>
            <w:r>
              <w:rPr>
                <w:sz w:val="18"/>
                <w:szCs w:val="18"/>
              </w:rPr>
              <w:t xml:space="preserve"> at commit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9040f8d</w:t>
            </w:r>
            <w:r>
              <w:rPr>
                <w:sz w:val="18"/>
                <w:szCs w:val="18"/>
              </w:rPr>
              <w:t xml:space="preserve">, specs 001–006 complete</w:t>
            </w:r>
          </w:p>
        </w:tc>
      </w:tr>
      <w:tr>
        <w:trPr>
          <w:cantSplit/>
          <w:tblHeader w:val="off"/>
        </w:trPr>
        <w:tc>
          <w:tcPr>
            <w:tcW w:type="dxa" w:w="16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Governing rules</w:t>
            </w:r>
          </w:p>
        </w:tc>
        <w:tc>
          <w:tcPr>
            <w:tcW w:type="dxa" w:w="811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.specify/memory/constitution.md</w:t>
            </w:r>
            <w:r>
              <w:rPr>
                <w:sz w:val="18"/>
                <w:szCs w:val="18"/>
              </w:rPr>
              <w:t xml:space="preserve"> v1.2.0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200"/>
      </w:pPr>
      <w:r>
        <w:rPr>
          <w:b/>
          <w:bCs/>
          <w:color w:val="1A5FB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746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0. Context and scope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2">
            <w:r>
              <w:t xml:space="preserve">0.1 The application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3">
            <w:r>
              <w:t xml:space="preserve">0.2 Core features and user flows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4">
            <w:r>
              <w:t xml:space="preserve">0.3 How to read this document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46" w:leader="dot"/>
            </w:tabs>
          </w:pPr>
          <w:hyperlink w:history="1" w:anchor="_Toc5">
            <w:r>
              <w:t xml:space="preserve">1. High-level architecture overview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6">
            <w:r>
              <w:t xml:space="preserve">1.1 Architectural style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7">
            <w:r>
              <w:t xml:space="preserve">1.2 System context and container view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8">
            <w:r>
              <w:t xml:space="preserve">1.3 Bounded contexts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9">
            <w:r>
              <w:t xml:space="preserve">1.4 Architectural principles in force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46" w:leader="dot"/>
            </w:tabs>
          </w:pPr>
          <w:hyperlink w:history="1" w:anchor="_Toc10">
            <w:r>
              <w:t xml:space="preserve">2. Component breakdown and responsibilities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11">
            <w:r>
              <w:t xml:space="preserve">2.1 Frontend (frontend/)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12">
            <w:r>
              <w:t xml:space="preserve">2.2 Edge and platform layer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13">
            <w:r>
              <w:t xml:space="preserve">2.3 Business services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14">
            <w:r>
              <w:t xml:space="preserve">2.4 Data layer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15">
            <w:r>
              <w:t xml:space="preserve">2.5 Messaging, workers and caching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16">
            <w:r>
              <w:t xml:space="preserve">2.6 Third-party and external services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17">
            <w:r>
              <w:t xml:space="preserve">2.7 Security model summary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46" w:leader="dot"/>
            </w:tabs>
          </w:pPr>
          <w:hyperlink w:history="1" w:anchor="_Toc18">
            <w:r>
              <w:t xml:space="preserve">3. Data flow and sequence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19">
            <w:r>
              <w:t xml:space="preserve">3.1 Authenticated request through the edge (every protected call)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20">
            <w:r>
              <w:t xml:space="preserve">3.2 Core flow A: paid checkout to enrollment (asynchronous, exactly-once effect)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21">
            <w:r>
              <w:t xml:space="preserve">3.3 Core flow B: completing a course to a verifiable certificate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22">
            <w:r>
              <w:t xml:space="preserve">3.4 Content gating (synchronous, fail-closed)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46" w:leader="dot"/>
            </w:tabs>
          </w:pPr>
          <w:hyperlink w:history="1" w:anchor="_Toc23">
            <w:r>
              <w:t xml:space="preserve">4. Technology recommendations and trade-offs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24">
            <w:r>
              <w:t xml:space="preserve">4.1 Keep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25">
            <w:r>
              <w:t xml:space="preserve">4.2 Fix now (defects and gaps found in the live test run on 2026-10-20)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26">
            <w:r>
              <w:t xml:space="preserve">4.3 Upgrade or replace for production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27">
            <w:r>
              <w:t xml:space="preserve">4.4 Add when the load demands it (not before)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28">
            <w:r>
              <w:t xml:space="preserve">4.5 Options considered and rejected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46" w:leader="dot"/>
            </w:tabs>
          </w:pPr>
          <w:hyperlink w:history="1" w:anchor="_Toc29">
            <w:r>
              <w:t xml:space="preserve">5. Scalability and migration path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30">
            <w:r>
              <w:t xml:space="preserve">5.1 Scaling characteristics today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31">
            <w:r>
              <w:t xml:space="preserve">5.2 Phased plan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746" w:leader="dot"/>
            </w:tabs>
            <w:ind w:left="440"/>
          </w:pPr>
          <w:hyperlink w:history="1" w:anchor="_Toc32">
            <w:r>
              <w:t xml:space="preserve">Phase 0: Harden what exists (1–2 weeks)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746" w:leader="dot"/>
            </w:tabs>
            <w:ind w:left="440"/>
          </w:pPr>
          <w:hyperlink w:history="1" w:anchor="_Toc33">
            <w:r>
              <w:t xml:space="preserve">Phase 1: Production foundations (3–5 weeks, needs constitution amendments)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746" w:leader="dot"/>
            </w:tabs>
            <w:ind w:left="440"/>
          </w:pPr>
          <w:hyperlink w:history="1" w:anchor="_Toc34">
            <w:r>
              <w:t xml:space="preserve">Phase 2: First production deployment (3–4 weeks)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746" w:leader="dot"/>
            </w:tabs>
            <w:ind w:left="440"/>
          </w:pPr>
          <w:hyperlink w:history="1" w:anchor="_Toc35">
            <w:r>
              <w:t xml:space="preserve">Phase 3: Real-world integrations (2–4 weeks, in parallel with Phase 2 once it is staged)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746" w:leader="dot"/>
            </w:tabs>
            <w:ind w:left="440"/>
          </w:pPr>
          <w:hyperlink w:history="1" w:anchor="_Toc36">
            <w:r>
              <w:t xml:space="preserve">Phase 4: Scale the hot paths (driven by metrics, not the calendar)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746" w:leader="dot"/>
            </w:tabs>
            <w:ind w:left="440"/>
          </w:pPr>
          <w:hyperlink w:history="1" w:anchor="_Toc37">
            <w:r>
              <w:t xml:space="preserve">Phase 5: Product expansion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46" w:leader="dot"/>
            </w:tabs>
            <w:ind w:left="220"/>
          </w:pPr>
          <w:hyperlink w:history="1" w:anchor="_Toc38">
            <w:r>
              <w:t xml:space="preserve">5.3 Risk register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46" w:leader="dot"/>
            </w:tabs>
          </w:pPr>
          <w:hyperlink w:history="1" w:anchor="_Toc39">
            <w:r>
              <w:t xml:space="preserve">Appendix A: Event catalogue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46" w:leader="dot"/>
            </w:tabs>
          </w:pPr>
          <w:hyperlink w:history="1" w:anchor="_Toc40">
            <w:r>
              <w:t xml:space="preserve">Appendix B: Port map (local and CI)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46" w:leader="dot"/>
            </w:tabs>
          </w:pPr>
          <w:hyperlink w:history="1" w:anchor="_Toc41">
            <w:r>
              <w:t xml:space="preserve">Appendix C: Source references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" w:id="1"/>
      <w:r>
        <w:t xml:space="preserve">0. Context and scope</w:t>
      </w:r>
      <w:bookmarkEnd w:id="1"/>
    </w:p>
    <w:p>
      <w:pPr>
        <w:pStyle w:val="Heading2"/>
      </w:pPr>
      <w:bookmarkStart w:name="_Toc2" w:id="2"/>
      <w:r>
        <w:t xml:space="preserve">0.1 The application</w:t>
      </w:r>
      <w:bookmarkEnd w:id="2"/>
    </w:p>
    <w:p>
      <w:pPr>
        <w:spacing w:after="140"/>
      </w:pPr>
      <w:r>
        <w:t xml:space="preserve">LearnHub lets students browse a catalog of courses, buy or take free courses, work through lessons, track their progress and receive a verifiable certificate when they finish. Instructors author and publish courses; administrators manage categories and roles.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5"/>
        <w:gridCol w:w="8181"/>
      </w:tblGrid>
      <w:tr>
        <w:trPr>
          <w:cantSplit/>
          <w:tblHeader/>
        </w:trPr>
        <w:tc>
          <w:tcPr>
            <w:tcW w:type="dxa" w:w="156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Template field</w:t>
            </w:r>
          </w:p>
        </w:tc>
        <w:tc>
          <w:tcPr>
            <w:tcW w:type="dxa" w:w="818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LearnHub</w:t>
            </w:r>
          </w:p>
        </w:tc>
      </w:tr>
      <w:tr>
        <w:trPr>
          <w:cantSplit/>
          <w:tblHeader w:val="off"/>
        </w:trPr>
        <w:tc>
          <w:tcPr>
            <w:tcW w:type="dxa" w:w="156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Application type</w:t>
            </w:r>
          </w:p>
        </w:tc>
        <w:tc>
          <w:tcPr>
            <w:tcW w:type="dxa" w:w="818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B2C online learning platform: a student-facing web SPA backed by a microservices API</w:t>
            </w:r>
          </w:p>
        </w:tc>
      </w:tr>
      <w:tr>
        <w:trPr>
          <w:cantSplit/>
          <w:tblHeader w:val="off"/>
        </w:trPr>
        <w:tc>
          <w:tcPr>
            <w:tcW w:type="dxa" w:w="156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818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React 19, TypeScript (strict), Vite, React Router, plain CSS, served by nginx</w:t>
            </w:r>
          </w:p>
        </w:tc>
      </w:tr>
      <w:tr>
        <w:trPr>
          <w:cantSplit/>
          <w:tblHeader w:val="off"/>
        </w:trPr>
        <w:tc>
          <w:tcPr>
            <w:tcW w:type="dxa" w:w="156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818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Java 21, Spring Boot 3.5.15, Spring Cloud 2025.0.3 (Eureka, Config Server, Gateway, OpenFeign, LoadBalancer, Resilience4j)</w:t>
            </w:r>
          </w:p>
        </w:tc>
      </w:tr>
      <w:tr>
        <w:trPr>
          <w:cantSplit/>
          <w:tblHeader w:val="off"/>
        </w:trPr>
        <w:tc>
          <w:tcPr>
            <w:tcW w:type="dxa" w:w="156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</w:t>
            </w:r>
          </w:p>
        </w:tc>
        <w:tc>
          <w:tcPr>
            <w:tcW w:type="dxa" w:w="818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PostgreSQL 16 (one logical database per business service), Flyway migrations</w:t>
            </w:r>
          </w:p>
        </w:tc>
      </w:tr>
      <w:tr>
        <w:trPr>
          <w:cantSplit/>
          <w:tblHeader w:val="off"/>
        </w:trPr>
        <w:tc>
          <w:tcPr>
            <w:tcW w:type="dxa" w:w="156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Messaging</w:t>
            </w:r>
          </w:p>
        </w:tc>
        <w:tc>
          <w:tcPr>
            <w:tcW w:type="dxa" w:w="818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RabbitMQ 4.3, one topic exchange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learning.events</w:t>
            </w:r>
          </w:p>
        </w:tc>
      </w:tr>
      <w:tr>
        <w:trPr>
          <w:cantSplit/>
          <w:tblHeader w:val="off"/>
        </w:trPr>
        <w:tc>
          <w:tcPr>
            <w:tcW w:type="dxa" w:w="156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818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SMTP; Mailpit captures every email locally</w:t>
            </w:r>
          </w:p>
        </w:tc>
      </w:tr>
      <w:tr>
        <w:trPr>
          <w:cantSplit/>
          <w:tblHeader w:val="off"/>
        </w:trPr>
        <w:tc>
          <w:tcPr>
            <w:tcW w:type="dxa" w:w="156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Payments</w:t>
            </w:r>
          </w:p>
        </w:tc>
        <w:tc>
          <w:tcPr>
            <w:tcW w:type="dxa" w:w="818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In-process simulated provider driven by test tokens (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sim-success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sim-decline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sim-unavailable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56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Hosting today</w:t>
            </w:r>
          </w:p>
        </w:tc>
        <w:tc>
          <w:tcPr>
            <w:tcW w:type="dxa" w:w="818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Docker Compose on a single host (developer laptop / CI runner). No cloud deployment yet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" w:id="3"/>
      <w:r>
        <w:t xml:space="preserve">0.2 Core features and user flows</w:t>
      </w:r>
      <w:bookmarkEnd w:id="3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Identity</w:t>
      </w:r>
      <w:r>
        <w:t xml:space="preserve">: register, sign in, silent token refresh, sign out, role change (administrator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Catalog</w:t>
      </w:r>
      <w:r>
        <w:t xml:space="preserve">: public browse, search, filter and sort of published courses; instructor course and lesson authoring with optimistic concurrency.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Checkout and enrollment</w:t>
      </w:r>
      <w:r>
        <w:t xml:space="preserve">: idempotent checkout of free and paid courses; enrollment created asynchronously from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payment.succeeded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Learning and progress</w:t>
      </w:r>
      <w:r>
        <w:t xml:space="preserve">: lesson content gated by enrollment; mark lessons complete; progress percentage; course completion detected exactly once.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Certificates</w:t>
      </w:r>
      <w:r>
        <w:t xml:space="preserve">: one certificate per student per course, issued from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course.completed</w:t>
      </w:r>
      <w:r>
        <w:t xml:space="preserve">; public verification by 16-character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t xml:space="preserve">: plain-text email on enrollment and on certificate issue.</w:t>
      </w:r>
    </w:p>
    <w:p>
      <w:pPr>
        <w:pStyle w:val="Heading2"/>
      </w:pPr>
      <w:bookmarkStart w:name="_Toc4" w:id="4"/>
      <w:r>
        <w:t xml:space="preserve">0.3 How to read this document</w:t>
      </w:r>
      <w:bookmarkEnd w:id="4"/>
    </w:p>
    <w:p>
      <w:pPr>
        <w:spacing w:after="140"/>
      </w:pPr>
      <w:r>
        <w:t xml:space="preserve">Sections 1–3 describe the system </w:t>
      </w:r>
      <w:r>
        <w:rPr>
          <w:b/>
          <w:bCs/>
        </w:rPr>
        <w:t xml:space="preserve">as it is built today</w:t>
      </w:r>
      <w:r>
        <w:t xml:space="preserve">; every claim there was checked against the code. Sections 4–5 are </w:t>
      </w:r>
      <w:r>
        <w:rPr>
          <w:b/>
          <w:bCs/>
        </w:rPr>
        <w:t xml:space="preserve">recommendations</w:t>
      </w:r>
      <w:r>
        <w:t xml:space="preserve">. Wherever a recommendation adds a technology, it needs a constitution amendment first (Principle X, Simplicity), and that is called out inline.</w:t>
      </w:r>
    </w:p>
    <w:p>
      <w:pPr>
        <w:pStyle w:val="Heading1"/>
        <w:pageBreakBefore/>
      </w:pPr>
      <w:bookmarkStart w:name="_Toc5" w:id="5"/>
      <w:r>
        <w:t xml:space="preserve">1. High-level architecture overview</w:t>
      </w:r>
      <w:bookmarkEnd w:id="5"/>
    </w:p>
    <w:p>
      <w:pPr>
        <w:pStyle w:val="Heading2"/>
      </w:pPr>
      <w:bookmarkStart w:name="_Toc6" w:id="6"/>
      <w:r>
        <w:t xml:space="preserve">1.1 Architectural style</w:t>
      </w:r>
      <w:bookmarkEnd w:id="6"/>
    </w:p>
    <w:p>
      <w:pPr>
        <w:spacing w:after="140"/>
      </w:pPr>
      <w:r>
        <w:t xml:space="preserve">LearnHub is a </w:t>
      </w:r>
      <w:r>
        <w:rPr>
          <w:b/>
          <w:bCs/>
        </w:rPr>
        <w:t xml:space="preserve">microservices architecture with an API gateway, a service registry and externalised configuration</w:t>
      </w:r>
      <w:r>
        <w:t xml:space="preserve">. Services talk to each other synchronously for lookups and asynchronously, through events, for anything that changes state. The main patterns: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5"/>
        <w:gridCol w:w="6121"/>
      </w:tblGrid>
      <w:tr>
        <w:trPr>
          <w:cantSplit/>
          <w:tblHeader/>
        </w:trPr>
        <w:tc>
          <w:tcPr>
            <w:tcW w:type="dxa" w:w="362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612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it is applied</w:t>
            </w:r>
          </w:p>
        </w:tc>
      </w:tr>
      <w:tr>
        <w:trPr>
          <w:cantSplit/>
          <w:tblHeader w:val="off"/>
        </w:trPr>
        <w:tc>
          <w:tcPr>
            <w:tcW w:type="dxa" w:w="362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 Gateway (single entry point)</w:t>
            </w:r>
          </w:p>
        </w:tc>
        <w:tc>
          <w:tcPr>
            <w:tcW w:type="dxa" w:w="612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api-gateway</w:t>
            </w:r>
            <w:r>
              <w:rPr>
                <w:sz w:val="18"/>
                <w:szCs w:val="18"/>
              </w:rPr>
              <w:t xml:space="preserve"> (Spring Cloud Gateway, WebFlux). It validates JWTs, applies CORS and rate limits, adds correlation IDs and forwards identity as headers</w:t>
            </w:r>
          </w:p>
        </w:tc>
      </w:tr>
      <w:tr>
        <w:trPr>
          <w:cantSplit/>
          <w:tblHeader w:val="off"/>
        </w:trPr>
        <w:tc>
          <w:tcPr>
            <w:tcW w:type="dxa" w:w="362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Backend-for-frontend via reverse proxy</w:t>
            </w:r>
          </w:p>
        </w:tc>
        <w:tc>
          <w:tcPr>
            <w:tcW w:type="dxa" w:w="612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nginx in the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frontend</w:t>
            </w:r>
            <w:r>
              <w:rPr>
                <w:sz w:val="18"/>
                <w:szCs w:val="18"/>
              </w:rPr>
              <w:t xml:space="preserve"> container serves the SPA and proxies same-origin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/api/</w:t>
            </w:r>
            <w:r>
              <w:rPr>
                <w:sz w:val="18"/>
                <w:szCs w:val="18"/>
              </w:rPr>
              <w:t xml:space="preserve"> to the gateway</w:t>
            </w:r>
          </w:p>
        </w:tc>
      </w:tr>
      <w:tr>
        <w:trPr>
          <w:cantSplit/>
          <w:tblHeader w:val="off"/>
        </w:trPr>
        <w:tc>
          <w:tcPr>
            <w:tcW w:type="dxa" w:w="362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Service registry and client-side load balancing</w:t>
            </w:r>
          </w:p>
        </w:tc>
        <w:tc>
          <w:tcPr>
            <w:tcW w:type="dxa" w:w="612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Eureka (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discovery-server</w:t>
            </w:r>
            <w:r>
              <w:rPr>
                <w:sz w:val="18"/>
                <w:szCs w:val="18"/>
              </w:rPr>
              <w:t xml:space="preserve">) plus Spring Cloud LoadBalancer (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lb://</w:t>
            </w:r>
            <w:r>
              <w:rPr>
                <w:sz w:val="18"/>
                <w:szCs w:val="18"/>
              </w:rPr>
              <w:t xml:space="preserve"> routes, Feign)</w:t>
            </w:r>
          </w:p>
        </w:tc>
      </w:tr>
      <w:tr>
        <w:trPr>
          <w:cantSplit/>
          <w:tblHeader w:val="off"/>
        </w:trPr>
        <w:tc>
          <w:tcPr>
            <w:tcW w:type="dxa" w:w="362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Externalised configuration with hot reload</w:t>
            </w:r>
          </w:p>
        </w:tc>
        <w:tc>
          <w:tcPr>
            <w:tcW w:type="dxa" w:w="612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config-server</w:t>
            </w:r>
            <w:r>
              <w:rPr>
                <w:sz w:val="18"/>
                <w:szCs w:val="18"/>
              </w:rPr>
              <w:t xml:space="preserve"> serves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backend/config-repo/</w:t>
            </w:r>
            <w:r>
              <w:rPr>
                <w:sz w:val="18"/>
                <w:szCs w:val="18"/>
              </w:rPr>
              <w:t xml:space="preserve">; services poll every 5 s and refresh within about 10 s</w:t>
            </w:r>
          </w:p>
        </w:tc>
      </w:tr>
      <w:tr>
        <w:trPr>
          <w:cantSplit/>
          <w:tblHeader w:val="off"/>
        </w:trPr>
        <w:tc>
          <w:tcPr>
            <w:tcW w:type="dxa" w:w="362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Database per service</w:t>
            </w:r>
          </w:p>
        </w:tc>
        <w:tc>
          <w:tcPr>
            <w:tcW w:type="dxa" w:w="612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Each business service owns one PostgreSQL database; cross-service reads are forbidden</w:t>
            </w:r>
          </w:p>
        </w:tc>
      </w:tr>
      <w:tr>
        <w:trPr>
          <w:cantSplit/>
          <w:tblHeader w:val="off"/>
        </w:trPr>
        <w:tc>
          <w:tcPr>
            <w:tcW w:type="dxa" w:w="362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Event-driven choreography</w:t>
            </w:r>
          </w:p>
        </w:tc>
        <w:tc>
          <w:tcPr>
            <w:tcW w:type="dxa" w:w="612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Business processes run as event chains on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learning.events</w:t>
            </w:r>
            <w:r>
              <w:rPr>
                <w:sz w:val="18"/>
                <w:szCs w:val="18"/>
              </w:rPr>
              <w:t xml:space="preserve">, with no central orchestrator</w:t>
            </w:r>
          </w:p>
        </w:tc>
      </w:tr>
      <w:tr>
        <w:trPr>
          <w:cantSplit/>
          <w:tblHeader w:val="off"/>
        </w:trPr>
        <w:tc>
          <w:tcPr>
            <w:tcW w:type="dxa" w:w="362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Transactional outbox</w:t>
            </w:r>
          </w:p>
        </w:tc>
        <w:tc>
          <w:tcPr>
            <w:tcW w:type="dxa" w:w="612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payment-service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enrollment-service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certificate-service</w:t>
            </w:r>
            <w:r>
              <w:rPr>
                <w:sz w:val="18"/>
                <w:szCs w:val="18"/>
              </w:rPr>
              <w:t xml:space="preserve"> write events in the same transaction as their state change, so no event is lost</w:t>
            </w:r>
          </w:p>
        </w:tc>
      </w:tr>
      <w:tr>
        <w:trPr>
          <w:cantSplit/>
          <w:tblHeader w:val="off"/>
        </w:trPr>
        <w:tc>
          <w:tcPr>
            <w:tcW w:type="dxa" w:w="362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Idempotent consumer and dead-letter queue</w:t>
            </w:r>
          </w:p>
        </w:tc>
        <w:tc>
          <w:tcPr>
            <w:tcW w:type="dxa" w:w="612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Every consumer de-duplicates on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eventId</w:t>
            </w:r>
            <w:r>
              <w:rPr>
                <w:sz w:val="18"/>
                <w:szCs w:val="18"/>
              </w:rPr>
              <w:t xml:space="preserve">, retries 3 times with backoff, then dead-letters</w:t>
            </w:r>
          </w:p>
        </w:tc>
      </w:tr>
      <w:tr>
        <w:trPr>
          <w:cantSplit/>
          <w:tblHeader w:val="off"/>
        </w:trPr>
        <w:tc>
          <w:tcPr>
            <w:tcW w:type="dxa" w:w="362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Idempotency key</w:t>
            </w:r>
          </w:p>
        </w:tc>
        <w:tc>
          <w:tcPr>
            <w:tcW w:type="dxa" w:w="612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Client-supplied key on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POST /api/v1/checkouts</w:t>
            </w:r>
            <w:r>
              <w:rPr>
                <w:sz w:val="18"/>
                <w:szCs w:val="18"/>
              </w:rPr>
              <w:t xml:space="preserve">, so a repeated checkout never charges twice</w:t>
            </w:r>
          </w:p>
        </w:tc>
      </w:tr>
      <w:tr>
        <w:trPr>
          <w:cantSplit/>
          <w:tblHeader w:val="off"/>
        </w:trPr>
        <w:tc>
          <w:tcPr>
            <w:tcW w:type="dxa" w:w="362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Optimistic concurrency</w:t>
            </w:r>
          </w:p>
        </w:tc>
        <w:tc>
          <w:tcPr>
            <w:tcW w:type="dxa" w:w="612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ETag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If-Match</w:t>
            </w:r>
            <w:r>
              <w:rPr>
                <w:sz w:val="18"/>
                <w:szCs w:val="18"/>
              </w:rPr>
              <w:t xml:space="preserve"> on every course and lesson mutation; a stale write gets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409</w:t>
            </w:r>
          </w:p>
        </w:tc>
      </w:tr>
      <w:tr>
        <w:trPr>
          <w:cantSplit/>
          <w:tblHeader w:val="off"/>
        </w:trPr>
        <w:tc>
          <w:tcPr>
            <w:tcW w:type="dxa" w:w="362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Circuit breaker with fallback</w:t>
            </w:r>
          </w:p>
        </w:tc>
        <w:tc>
          <w:tcPr>
            <w:tcW w:type="dxa" w:w="612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Resilience4j on every Feign client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7" w:id="7"/>
      <w:r>
        <w:t xml:space="preserve">1.2 System context and container view</w:t>
      </w:r>
      <w:bookmarkEnd w:id="7"/>
    </w:p>
    <w:p>
      <w:pPr>
        <w:keepNext/>
        <w:shd w:fill="F3F5F8" w:color="auto" w:val="clear"/>
        <w:spacing w:after="0" w:before="80" w:line="22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+---------------------------+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Student (browser) ---&gt;|  frontend  (nginx :9100)  |  serves the React SPA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|  /        -&gt; index.html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|  /api/**  -&gt; api-gateway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+-------------+-------------+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+-------------v-------------+      +-------------------+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|  api-gateway  (:9080)      |&lt;----&gt;| discovery-server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|  JWT check, CORS, rate     |      | Eureka   (:9761)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|  limit, correlation ID     |      +-------------------+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+--+-----+-----+-----+----+--+      +-------------------+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|     |     |     |    |         | config-server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           lb:// routes  |     |     |     |    |         | (:9888) serves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v     v     v     v    v         | backend/config-repo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+-----------+ +---------+ +-----------+ +---------+ +-------------+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auth      | | course  | | enrollment| | payment | | certificate |   notification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:9001     | | :9002   | | :9003     | | :9004   | | :9005       |   :9007 (no public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+-----+-----+ +----+----+ +-----+-----+ +----+----+ +------+------+    route)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      |            |            |            |             |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      |      Feign lookups (Resilience4j circuit breaker + fallback)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      |            |            |            |             |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+-----v------------v------------v------------v-------------v---------------v-----+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 PostgreSQL 16 (:9432): auth_db, course_db, enrollment_db, payment_db,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 certificate_db, notification_db (review_db reserved). One owner per database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+----------------------------------------------------------------------------------+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 RabbitMQ 4.3 (:9672): topic exchange learning.events, one queue + DLQ per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 consumer                                                       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+----------------------------------------------------------------------------------+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 Mailpit (:9025 SMTP / :9825 UI): local email capture                            |</w:t>
      </w:r>
    </w:p>
    <w:p>
      <w:pPr>
        <w:keepNext w:val="false"/>
        <w:shd w:fill="F3F5F8" w:color="auto" w:val="clear"/>
        <w:spacing w:after="16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+----------------------------------------------------------------------------------+</w:t>
      </w:r>
    </w:p>
    <w:p>
      <w:pPr>
        <w:pStyle w:val="Heading2"/>
      </w:pPr>
      <w:bookmarkStart w:name="_Toc8" w:id="8"/>
      <w:r>
        <w:t xml:space="preserve">1.3 Bounded contexts</w:t>
      </w:r>
      <w:bookmarkEnd w:id="8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250"/>
        <w:gridCol w:w="3472"/>
        <w:gridCol w:w="2674"/>
      </w:tblGrid>
      <w:tr>
        <w:trPr>
          <w:cantSplit/>
          <w:tblHeader/>
        </w:trPr>
        <w:tc>
          <w:tcPr>
            <w:tcW w:type="dxa" w:w="13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22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47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26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13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Identity</w:t>
            </w:r>
          </w:p>
        </w:tc>
        <w:tc>
          <w:tcPr>
            <w:tcW w:type="dxa" w:w="22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auth-service</w:t>
            </w:r>
          </w:p>
        </w:tc>
        <w:tc>
          <w:tcPr>
            <w:tcW w:type="dxa" w:w="347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Accounts, roles, refresh-token sessions</w:t>
            </w:r>
          </w:p>
        </w:tc>
        <w:tc>
          <w:tcPr>
            <w:tcW w:type="dxa" w:w="26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Built (spec 002)</w:t>
            </w:r>
          </w:p>
        </w:tc>
      </w:tr>
      <w:tr>
        <w:trPr>
          <w:cantSplit/>
          <w:tblHeader w:val="off"/>
        </w:trPr>
        <w:tc>
          <w:tcPr>
            <w:tcW w:type="dxa" w:w="13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Catalog</w:t>
            </w:r>
          </w:p>
        </w:tc>
        <w:tc>
          <w:tcPr>
            <w:tcW w:type="dxa" w:w="22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course-service</w:t>
            </w:r>
          </w:p>
        </w:tc>
        <w:tc>
          <w:tcPr>
            <w:tcW w:type="dxa" w:w="347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Categories, courses, lessons, publish lifecycle</w:t>
            </w:r>
          </w:p>
        </w:tc>
        <w:tc>
          <w:tcPr>
            <w:tcW w:type="dxa" w:w="26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Built (spec 003)</w:t>
            </w:r>
          </w:p>
        </w:tc>
      </w:tr>
      <w:tr>
        <w:trPr>
          <w:cantSplit/>
          <w:tblHeader w:val="off"/>
        </w:trPr>
        <w:tc>
          <w:tcPr>
            <w:tcW w:type="dxa" w:w="13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Commerce</w:t>
            </w:r>
          </w:p>
        </w:tc>
        <w:tc>
          <w:tcPr>
            <w:tcW w:type="dxa" w:w="22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payment-service</w:t>
            </w:r>
          </w:p>
        </w:tc>
        <w:tc>
          <w:tcPr>
            <w:tcW w:type="dxa" w:w="347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Checkouts, payments, idempotency records</w:t>
            </w:r>
          </w:p>
        </w:tc>
        <w:tc>
          <w:tcPr>
            <w:tcW w:type="dxa" w:w="26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Built (spec 004)</w:t>
            </w:r>
          </w:p>
        </w:tc>
      </w:tr>
      <w:tr>
        <w:trPr>
          <w:cantSplit/>
          <w:tblHeader w:val="off"/>
        </w:trPr>
        <w:tc>
          <w:tcPr>
            <w:tcW w:type="dxa" w:w="13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Learning</w:t>
            </w:r>
          </w:p>
        </w:tc>
        <w:tc>
          <w:tcPr>
            <w:tcW w:type="dxa" w:w="22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enrollment-service</w:t>
            </w:r>
          </w:p>
        </w:tc>
        <w:tc>
          <w:tcPr>
            <w:tcW w:type="dxa" w:w="347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Enrollments, lesson completions, course completion</w:t>
            </w:r>
          </w:p>
        </w:tc>
        <w:tc>
          <w:tcPr>
            <w:tcW w:type="dxa" w:w="26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Built (specs 004–005)</w:t>
            </w:r>
          </w:p>
        </w:tc>
      </w:tr>
      <w:tr>
        <w:trPr>
          <w:cantSplit/>
          <w:tblHeader w:val="off"/>
        </w:trPr>
        <w:tc>
          <w:tcPr>
            <w:tcW w:type="dxa" w:w="13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Credentials</w:t>
            </w:r>
          </w:p>
        </w:tc>
        <w:tc>
          <w:tcPr>
            <w:tcW w:type="dxa" w:w="22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certificate-service</w:t>
            </w:r>
          </w:p>
        </w:tc>
        <w:tc>
          <w:tcPr>
            <w:tcW w:type="dxa" w:w="347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Certificates and verification codes</w:t>
            </w:r>
          </w:p>
        </w:tc>
        <w:tc>
          <w:tcPr>
            <w:tcW w:type="dxa" w:w="26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Built (spec 005)</w:t>
            </w:r>
          </w:p>
        </w:tc>
      </w:tr>
      <w:tr>
        <w:trPr>
          <w:cantSplit/>
          <w:tblHeader w:val="off"/>
        </w:trPr>
        <w:tc>
          <w:tcPr>
            <w:tcW w:type="dxa" w:w="13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Messaging</w:t>
            </w:r>
          </w:p>
        </w:tc>
        <w:tc>
          <w:tcPr>
            <w:tcW w:type="dxa" w:w="22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notification-service</w:t>
            </w:r>
          </w:p>
        </w:tc>
        <w:tc>
          <w:tcPr>
            <w:tcW w:type="dxa" w:w="347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Sent-notification log (for de-duplication)</w:t>
            </w:r>
          </w:p>
        </w:tc>
        <w:tc>
          <w:tcPr>
            <w:tcW w:type="dxa" w:w="26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Built (spec 005)</w:t>
            </w:r>
          </w:p>
        </w:tc>
      </w:tr>
      <w:tr>
        <w:trPr>
          <w:cantSplit/>
          <w:tblHeader w:val="off"/>
        </w:trPr>
        <w:tc>
          <w:tcPr>
            <w:tcW w:type="dxa" w:w="13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Feedback</w:t>
            </w:r>
          </w:p>
        </w:tc>
        <w:tc>
          <w:tcPr>
            <w:tcW w:type="dxa" w:w="22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review-service</w:t>
            </w:r>
          </w:p>
        </w:tc>
        <w:tc>
          <w:tcPr>
            <w:tcW w:type="dxa" w:w="347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Course reviews</w:t>
            </w:r>
          </w:p>
        </w:tc>
        <w:tc>
          <w:tcPr>
            <w:tcW w:type="dxa" w:w="26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Deferred; port 9006 and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review_db</w:t>
            </w:r>
            <w:r>
              <w:rPr>
                <w:sz w:val="18"/>
                <w:szCs w:val="18"/>
              </w:rPr>
              <w:t xml:space="preserve"> reserved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9" w:id="9"/>
      <w:r>
        <w:t xml:space="preserve">1.4 Architectural principles in force</w:t>
      </w:r>
      <w:bookmarkEnd w:id="9"/>
    </w:p>
    <w:p>
      <w:pPr>
        <w:spacing w:after="140"/>
      </w:pPr>
      <w:r>
        <w:t xml:space="preserve">These are enforced by the constitution and, in several cases, by tests (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NoWiringCodeTest</w:t>
      </w:r>
      <w:r>
        <w:t xml:space="preserve">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NoHardcodedAddressTest</w:t>
      </w:r>
      <w:r>
        <w:t xml:space="preserve">, Testcontainers integration tests):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gateway is the </w:t>
      </w:r>
      <w:r>
        <w:rPr>
          <w:b/>
          <w:bCs/>
        </w:rPr>
        <w:t xml:space="preserve">only</w:t>
      </w:r>
      <w:r>
        <w:t xml:space="preserve"> client entry point. Every route is </w:t>
      </w:r>
      <w:r>
        <w:rPr>
          <w:b/>
          <w:bCs/>
        </w:rPr>
        <w:t xml:space="preserve">protected by default</w:t>
      </w:r>
      <w:r>
        <w:t xml:space="preserve">; public routes are listed explicitly.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shared database and no cross-service joins.</w:t>
      </w:r>
      <w:r>
        <w:t xml:space="preserve"> Other contexts' data comes through Feign or events.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Shared libraries are limited to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shared-events</w:t>
      </w:r>
      <w:r>
        <w:t xml:space="preserve"> (the event envelope) and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platform-common</w:t>
      </w:r>
      <w:r>
        <w:t xml:space="preserve"> (errors, correlation ID, logging). </w:t>
      </w:r>
      <w:r>
        <w:rPr>
          <w:b/>
          <w:bCs/>
        </w:rPr>
        <w:t xml:space="preserve">No domain logic is shared.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client-reachable error is </w:t>
      </w:r>
      <w:r>
        <w:rPr>
          <w:b/>
          <w:bCs/>
        </w:rPr>
        <w:t xml:space="preserve">RFC 7807 problem details</w:t>
      </w:r>
      <w:r>
        <w:t xml:space="preserve"> with a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correlationId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Test-first</w:t>
      </w:r>
      <w:r>
        <w:t xml:space="preserve"> development. Testcontainers for PostgreSQL and RabbitMQ; H2 is not allowed.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versions live in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backend/pom.xml</w:t>
      </w:r>
      <w:r>
        <w:t xml:space="preserve"> only. All host ports follow the 9xxx port map.</w:t>
      </w:r>
    </w:p>
    <w:p>
      <w:pPr>
        <w:pStyle w:val="Heading1"/>
        <w:pageBreakBefore/>
      </w:pPr>
      <w:bookmarkStart w:name="_Toc10" w:id="10"/>
      <w:r>
        <w:t xml:space="preserve">2. Component breakdown and responsibilities</w:t>
      </w:r>
      <w:bookmarkEnd w:id="10"/>
    </w:p>
    <w:p>
      <w:pPr>
        <w:pStyle w:val="Heading2"/>
      </w:pPr>
      <w:bookmarkStart w:name="_Toc11" w:id="11"/>
      <w:r>
        <w:t xml:space="preserve">2.1 Frontend (frontend/)</w:t>
      </w:r>
      <w:bookmarkEnd w:id="1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2"/>
        <w:gridCol w:w="8214"/>
      </w:tblGrid>
      <w:tr>
        <w:trPr>
          <w:cantSplit/>
          <w:tblHeader/>
        </w:trPr>
        <w:tc>
          <w:tcPr>
            <w:tcW w:type="dxa" w:w="153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821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Design</w:t>
            </w:r>
          </w:p>
        </w:tc>
      </w:tr>
      <w:tr>
        <w:trPr>
          <w:cantSplit/>
          <w:tblHeader w:val="off"/>
        </w:trPr>
        <w:tc>
          <w:tcPr>
            <w:tcW w:type="dxa" w:w="153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821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Single-page app: React 19, TypeScript strict, Vite build, React Router</w:t>
            </w:r>
          </w:p>
        </w:tc>
      </w:tr>
      <w:tr>
        <w:trPr>
          <w:cantSplit/>
          <w:tblHeader w:val="off"/>
        </w:trPr>
        <w:tc>
          <w:tcPr>
            <w:tcW w:type="dxa" w:w="153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Serving</w:t>
            </w:r>
          </w:p>
        </w:tc>
        <w:tc>
          <w:tcPr>
            <w:tcW w:type="dxa" w:w="821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nginx container on host port 9100; SPA fallback (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try_files … /index.html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/api/</w:t>
            </w:r>
            <w:r>
              <w:rPr>
                <w:sz w:val="18"/>
                <w:szCs w:val="18"/>
              </w:rPr>
              <w:t xml:space="preserve"> reverse-proxied to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api-gateway:9080</w:t>
            </w:r>
          </w:p>
        </w:tc>
      </w:tr>
      <w:tr>
        <w:trPr>
          <w:cantSplit/>
          <w:tblHeader w:val="off"/>
        </w:trPr>
        <w:tc>
          <w:tcPr>
            <w:tcW w:type="dxa" w:w="153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Security headers</w:t>
            </w:r>
          </w:p>
        </w:tc>
        <w:tc>
          <w:tcPr>
            <w:tcW w:type="dxa" w:w="821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Content-Security-Policy: default-src 'self'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X-Frame-Options: DENY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X-Content-Type-Options: nosniff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Referrer-Policy: no-referrer</w:t>
            </w:r>
          </w:p>
        </w:tc>
      </w:tr>
      <w:tr>
        <w:trPr>
          <w:cantSplit/>
          <w:tblHeader w:val="off"/>
        </w:trPr>
        <w:tc>
          <w:tcPr>
            <w:tcW w:type="dxa" w:w="153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Session</w:t>
            </w:r>
          </w:p>
        </w:tc>
        <w:tc>
          <w:tcPr>
            <w:tcW w:type="dxa" w:w="821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Access token </w:t>
            </w:r>
            <w:r>
              <w:rPr>
                <w:b/>
                <w:bCs/>
                <w:sz w:val="18"/>
                <w:szCs w:val="18"/>
              </w:rPr>
              <w:t xml:space="preserve">in memory only</w:t>
            </w:r>
            <w:r>
              <w:rPr>
                <w:sz w:val="18"/>
                <w:szCs w:val="18"/>
              </w:rPr>
              <w:t xml:space="preserve">; refresh token in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sessionStorage</w:t>
            </w:r>
            <w:r>
              <w:rPr>
                <w:sz w:val="18"/>
                <w:szCs w:val="18"/>
              </w:rPr>
              <w:t xml:space="preserve">; never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localStorage</w:t>
            </w:r>
            <w:r>
              <w:rPr>
                <w:sz w:val="18"/>
                <w:szCs w:val="18"/>
              </w:rPr>
              <w:t xml:space="preserve">, cookies or URLs</w:t>
            </w:r>
          </w:p>
        </w:tc>
      </w:tr>
      <w:tr>
        <w:trPr>
          <w:cantSplit/>
          <w:tblHeader w:val="off"/>
        </w:trPr>
        <w:tc>
          <w:tcPr>
            <w:tcW w:type="dxa" w:w="153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Token refresh</w:t>
            </w:r>
          </w:p>
        </w:tc>
        <w:tc>
          <w:tcPr>
            <w:tcW w:type="dxa" w:w="821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Single-flight</w:t>
            </w:r>
            <w:r>
              <w:rPr>
                <w:sz w:val="18"/>
                <w:szCs w:val="18"/>
              </w:rPr>
              <w:t xml:space="preserve">: concurrent 401s await one shared refresh, because the backend treats reuse of a rotated refresh token as theft and revokes the session</w:t>
            </w:r>
          </w:p>
        </w:tc>
      </w:tr>
      <w:tr>
        <w:trPr>
          <w:cantSplit/>
          <w:tblHeader w:val="off"/>
        </w:trPr>
        <w:tc>
          <w:tcPr>
            <w:tcW w:type="dxa" w:w="153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 contract</w:t>
            </w:r>
          </w:p>
        </w:tc>
        <w:tc>
          <w:tcPr>
            <w:tcW w:type="dxa" w:w="821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Types generated from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specs/*/contracts/*.openapi.yaml</w:t>
            </w:r>
            <w:r>
              <w:rPr>
                <w:sz w:val="18"/>
                <w:szCs w:val="18"/>
              </w:rPr>
              <w:t xml:space="preserve">, not written by hand</w:t>
            </w:r>
          </w:p>
        </w:tc>
      </w:tr>
      <w:tr>
        <w:trPr>
          <w:cantSplit/>
          <w:tblHeader w:val="off"/>
        </w:trPr>
        <w:tc>
          <w:tcPr>
            <w:tcW w:type="dxa" w:w="153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Rendering safety</w:t>
            </w:r>
          </w:p>
        </w:tc>
        <w:tc>
          <w:tcPr>
            <w:tcW w:type="dxa" w:w="821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Server text is always rendered as text;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dangerouslySetInnerHTML</w:t>
            </w:r>
            <w:r>
              <w:rPr>
                <w:sz w:val="18"/>
                <w:szCs w:val="18"/>
              </w:rPr>
              <w:t xml:space="preserve"> is forbidden</w:t>
            </w:r>
          </w:p>
        </w:tc>
      </w:tr>
      <w:tr>
        <w:trPr>
          <w:cantSplit/>
          <w:tblHeader w:val="off"/>
        </w:trPr>
        <w:tc>
          <w:tcPr>
            <w:tcW w:type="dxa" w:w="153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Error UX</w:t>
            </w:r>
          </w:p>
        </w:tc>
        <w:tc>
          <w:tcPr>
            <w:tcW w:type="dxa" w:w="821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Every error shows the backend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correlationId</w:t>
            </w:r>
            <w:r>
              <w:rPr>
                <w:sz w:val="18"/>
                <w:szCs w:val="18"/>
              </w:rPr>
              <w:t xml:space="preserve"> as a reference code</w:t>
            </w:r>
          </w:p>
        </w:tc>
      </w:tr>
      <w:tr>
        <w:trPr>
          <w:cantSplit/>
          <w:tblHeader w:val="off"/>
        </w:trPr>
        <w:tc>
          <w:tcPr>
            <w:tcW w:type="dxa" w:w="153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Checkout</w:t>
            </w:r>
          </w:p>
        </w:tc>
        <w:tc>
          <w:tcPr>
            <w:tcW w:type="dxa" w:w="821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useCheckout</w:t>
            </w:r>
            <w:r>
              <w:rPr>
                <w:sz w:val="18"/>
                <w:szCs w:val="18"/>
              </w:rPr>
              <w:t xml:space="preserve"> hook: idempotency key reused across network/503 retries, regenerated only after a final business outcome; polls enrollment every 1 s for up to 15 s, then shows "still being confirmed"</w:t>
            </w:r>
          </w:p>
        </w:tc>
      </w:tr>
      <w:tr>
        <w:trPr>
          <w:cantSplit/>
          <w:tblHeader w:val="off"/>
        </w:trPr>
        <w:tc>
          <w:tcPr>
            <w:tcW w:type="dxa" w:w="153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State</w:t>
            </w:r>
          </w:p>
        </w:tc>
        <w:tc>
          <w:tcPr>
            <w:tcW w:type="dxa" w:w="821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React state and context only; no state library, no UI framework (constitution XI)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" w:id="12"/>
      <w:r>
        <w:t xml:space="preserve">2.2 Edge and platform layer</w:t>
      </w:r>
      <w:bookmarkEnd w:id="12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2"/>
        <w:gridCol w:w="3854"/>
        <w:gridCol w:w="3460"/>
      </w:tblGrid>
      <w:tr>
        <w:trPr>
          <w:cantSplit/>
          <w:tblHeader/>
        </w:trPr>
        <w:tc>
          <w:tcPr>
            <w:tcW w:type="dxa" w:w="243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5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346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243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api-gateway</w:t>
            </w:r>
            <w:r>
              <w:rPr>
                <w:sz w:val="18"/>
                <w:szCs w:val="18"/>
              </w:rPr>
              <w:t xml:space="preserve"> (Spring Cloud Gateway, reactive)</w:t>
            </w:r>
          </w:p>
        </w:tc>
        <w:tc>
          <w:tcPr>
            <w:tcW w:type="dxa" w:w="385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Routing (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lb://&lt;service&gt;</w:t>
            </w:r>
            <w:r>
              <w:rPr>
                <w:sz w:val="18"/>
                <w:szCs w:val="18"/>
              </w:rPr>
              <w:t xml:space="preserve">); JWT verification (HS256, shared secret); replaces the token with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X-User-Id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X-User-Role</w:t>
            </w:r>
            <w:r>
              <w:rPr>
                <w:sz w:val="18"/>
                <w:szCs w:val="18"/>
              </w:rPr>
              <w:t xml:space="preserve"> headers; role-restricted routes (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metadata.roles</w:t>
            </w:r>
            <w:r>
              <w:rPr>
                <w:sz w:val="18"/>
                <w:szCs w:val="18"/>
              </w:rPr>
              <w:t xml:space="preserve">); public-route list (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metadata.public</w:t>
            </w:r>
            <w:r>
              <w:rPr>
                <w:sz w:val="18"/>
                <w:szCs w:val="18"/>
              </w:rPr>
              <w:t xml:space="preserve">); global CORS; token-bucket rate limiting per client address (general: 200 capacity, 100/s refill; strict bucket for certificate verification: 10 capacity, 2/s); correlation-ID filter; RFC 7807 error handler</w:t>
            </w:r>
          </w:p>
        </w:tc>
        <w:tc>
          <w:tcPr>
            <w:tcW w:type="dxa" w:w="346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Rate-limit state is </w:t>
            </w:r>
            <w:r>
              <w:rPr>
                <w:b/>
                <w:bCs/>
                <w:sz w:val="18"/>
                <w:szCs w:val="18"/>
              </w:rPr>
              <w:t xml:space="preserve">in-process memory</w:t>
            </w:r>
            <w:r>
              <w:rPr>
                <w:sz w:val="18"/>
                <w:szCs w:val="18"/>
              </w:rPr>
              <w:t xml:space="preserve">, so the limit applies per gateway instance</w:t>
            </w:r>
          </w:p>
        </w:tc>
      </w:tr>
      <w:tr>
        <w:trPr>
          <w:cantSplit/>
          <w:tblHeader w:val="off"/>
        </w:trPr>
        <w:tc>
          <w:tcPr>
            <w:tcW w:type="dxa" w:w="243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discovery-server</w:t>
            </w:r>
            <w:r>
              <w:rPr>
                <w:sz w:val="18"/>
                <w:szCs w:val="18"/>
              </w:rPr>
              <w:t xml:space="preserve"> (Eureka)</w:t>
            </w:r>
          </w:p>
        </w:tc>
        <w:tc>
          <w:tcPr>
            <w:tcW w:type="dxa" w:w="385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Service registration and lookup; 30 s lease expiry</w:t>
            </w:r>
          </w:p>
        </w:tc>
        <w:tc>
          <w:tcPr>
            <w:tcW w:type="dxa" w:w="346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Single node; basic auth outside the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local</w:t>
            </w:r>
            <w:r>
              <w:rPr>
                <w:sz w:val="18"/>
                <w:szCs w:val="18"/>
              </w:rPr>
              <w:t xml:space="preserve"> profile</w:t>
            </w:r>
          </w:p>
        </w:tc>
      </w:tr>
      <w:tr>
        <w:trPr>
          <w:cantSplit/>
          <w:tblHeader w:val="off"/>
        </w:trPr>
        <w:tc>
          <w:tcPr>
            <w:tcW w:type="dxa" w:w="243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config-server</w:t>
            </w:r>
          </w:p>
        </w:tc>
        <w:tc>
          <w:tcPr>
            <w:tcW w:type="dxa" w:w="385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Serves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backend/config-repo/</w:t>
            </w:r>
            <w:r>
              <w:rPr>
                <w:sz w:val="18"/>
                <w:szCs w:val="18"/>
              </w:rPr>
              <w:t xml:space="preserve"> (shared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application.yml</w:t>
            </w:r>
            <w:r>
              <w:rPr>
                <w:sz w:val="18"/>
                <w:szCs w:val="18"/>
              </w:rPr>
              <w:t xml:space="preserve">, per-service and per-profile files); services fail fast if it is unreachable (bounded retry, 30 s cap)</w:t>
            </w:r>
          </w:p>
        </w:tc>
        <w:tc>
          <w:tcPr>
            <w:tcW w:type="dxa" w:w="346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Currently reads the </w:t>
            </w:r>
            <w:r>
              <w:rPr>
                <w:b/>
                <w:bCs/>
                <w:sz w:val="18"/>
                <w:szCs w:val="18"/>
              </w:rPr>
              <w:t xml:space="preserve">working tree</w:t>
            </w:r>
            <w:r>
              <w:rPr>
                <w:sz w:val="18"/>
                <w:szCs w:val="18"/>
              </w:rPr>
              <w:t xml:space="preserve"> directly; secrets are never stored there</w:t>
            </w:r>
          </w:p>
        </w:tc>
      </w:tr>
      <w:tr>
        <w:trPr>
          <w:cantSplit/>
          <w:tblHeader w:val="off"/>
        </w:trPr>
        <w:tc>
          <w:tcPr>
            <w:tcW w:type="dxa" w:w="243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platform-common</w:t>
            </w:r>
            <w:r>
              <w:rPr>
                <w:sz w:val="18"/>
                <w:szCs w:val="18"/>
              </w:rPr>
              <w:t xml:space="preserve"> (library)</w:t>
            </w:r>
          </w:p>
        </w:tc>
        <w:tc>
          <w:tcPr>
            <w:tcW w:type="dxa" w:w="385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Problem-details errors, correlation-ID propagation, structured ECS JSON logging, Eureka/config wiring</w:t>
            </w:r>
          </w:p>
        </w:tc>
        <w:tc>
          <w:tcPr>
            <w:tcW w:type="dxa" w:w="346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Services contain no wiring code of their own (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NoWiringCodeTest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243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shared-events</w:t>
            </w:r>
            <w:r>
              <w:rPr>
                <w:sz w:val="18"/>
                <w:szCs w:val="18"/>
              </w:rPr>
              <w:t xml:space="preserve"> (library)</w:t>
            </w:r>
          </w:p>
        </w:tc>
        <w:tc>
          <w:tcPr>
            <w:tcW w:type="dxa" w:w="385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Versioned envelope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{eventId, type, version, occurredAt, correlationId, payload}</w:t>
            </w:r>
            <w:r>
              <w:rPr>
                <w:sz w:val="18"/>
                <w:szCs w:val="18"/>
              </w:rPr>
              <w:t xml:space="preserve">, routing-key rule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&lt;domain&gt;.&lt;event&gt;</w:t>
            </w:r>
            <w:r>
              <w:rPr>
                <w:sz w:val="18"/>
                <w:szCs w:val="18"/>
              </w:rPr>
              <w:t xml:space="preserve">, payload records</w:t>
            </w:r>
          </w:p>
        </w:tc>
        <w:tc>
          <w:tcPr>
            <w:tcW w:type="dxa" w:w="346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 domain routing keys declared here</w:t>
            </w:r>
          </w:p>
        </w:tc>
      </w:tr>
      <w:tr>
        <w:trPr>
          <w:cantSplit/>
          <w:tblHeader w:val="off"/>
        </w:trPr>
        <w:tc>
          <w:tcPr>
            <w:tcW w:type="dxa" w:w="243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echo-service</w:t>
            </w:r>
          </w:p>
        </w:tc>
        <w:tc>
          <w:tcPr>
            <w:tcW w:type="dxa" w:w="385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Platform verification only (routing, load spreading, failover smoke tests)</w:t>
            </w:r>
          </w:p>
        </w:tc>
        <w:tc>
          <w:tcPr>
            <w:tcW w:type="dxa" w:w="346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part of the product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3" w:id="13"/>
      <w:r>
        <w:t xml:space="preserve">2.3 Business services</w:t>
      </w:r>
      <w:bookmarkEnd w:id="13"/>
    </w:p>
    <w:p>
      <w:pPr>
        <w:spacing w:after="140"/>
      </w:pPr>
      <w:r>
        <w:rPr>
          <w:b/>
          <w:bCs/>
        </w:rPr>
        <w:t xml:space="preserve">API surface</w:t>
      </w:r>
      <w:r>
        <w:t xml:space="preserve"> (all paths are prefixed with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/api/v1</w:t>
      </w:r>
      <w:r>
        <w:t xml:space="preserve">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3"/>
        <w:gridCol w:w="7473"/>
      </w:tblGrid>
      <w:tr>
        <w:trPr>
          <w:cantSplit/>
          <w:tblHeader/>
        </w:trPr>
        <w:tc>
          <w:tcPr>
            <w:tcW w:type="dxa" w:w="22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74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Endpoints reachable through the gateway</w:t>
            </w:r>
          </w:p>
        </w:tc>
      </w:tr>
      <w:tr>
        <w:trPr>
          <w:cantSplit/>
          <w:tblHeader w:val="off"/>
        </w:trPr>
        <w:tc>
          <w:tcPr>
            <w:tcW w:type="dxa" w:w="22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auth-service</w:t>
            </w:r>
          </w:p>
        </w:tc>
        <w:tc>
          <w:tcPr>
            <w:tcW w:type="dxa" w:w="74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POST /auth/register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/auth/login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/auth/refresh</w:t>
            </w:r>
            <w:r>
              <w:rPr>
                <w:sz w:val="18"/>
                <w:szCs w:val="18"/>
              </w:rPr>
              <w:t xml:space="preserve"> (public);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PATCH /auth/accounts/{id}/role</w:t>
            </w:r>
            <w:r>
              <w:rPr>
                <w:sz w:val="18"/>
                <w:szCs w:val="18"/>
              </w:rPr>
              <w:t xml:space="preserve"> (administrator)</w:t>
            </w:r>
          </w:p>
        </w:tc>
      </w:tr>
      <w:tr>
        <w:trPr>
          <w:cantSplit/>
          <w:tblHeader w:val="off"/>
        </w:trPr>
        <w:tc>
          <w:tcPr>
            <w:tcW w:type="dxa" w:w="22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course-service</w:t>
            </w:r>
          </w:p>
        </w:tc>
        <w:tc>
          <w:tcPr>
            <w:tcW w:type="dxa" w:w="74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GET /courses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/courses/{id}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/categories</w:t>
            </w:r>
            <w:r>
              <w:rPr>
                <w:sz w:val="18"/>
                <w:szCs w:val="18"/>
              </w:rPr>
              <w:t xml:space="preserve"> (public); course and lesson create/edit/delete, publish, archive;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GET /my/courses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GET /courses/{id}/content</w:t>
            </w:r>
            <w:r>
              <w:rPr>
                <w:sz w:val="18"/>
                <w:szCs w:val="18"/>
              </w:rPr>
              <w:t xml:space="preserve"> (gated by enrollment). Internal only, not routed: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GET /internal/courses/{id}</w:t>
            </w:r>
          </w:p>
        </w:tc>
      </w:tr>
      <w:tr>
        <w:trPr>
          <w:cantSplit/>
          <w:tblHeader w:val="off"/>
        </w:trPr>
        <w:tc>
          <w:tcPr>
            <w:tcW w:type="dxa" w:w="22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payment-service</w:t>
            </w:r>
          </w:p>
        </w:tc>
        <w:tc>
          <w:tcPr>
            <w:tcW w:type="dxa" w:w="74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POST /checkouts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GET /payments/**</w:t>
            </w:r>
            <w:r>
              <w:rPr>
                <w:sz w:val="18"/>
                <w:szCs w:val="18"/>
              </w:rPr>
              <w:t xml:space="preserve"> (caller's own only)</w:t>
            </w:r>
          </w:p>
        </w:tc>
      </w:tr>
      <w:tr>
        <w:trPr>
          <w:cantSplit/>
          <w:tblHeader w:val="off"/>
        </w:trPr>
        <w:tc>
          <w:tcPr>
            <w:tcW w:type="dxa" w:w="22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enrollment-service</w:t>
            </w:r>
          </w:p>
        </w:tc>
        <w:tc>
          <w:tcPr>
            <w:tcW w:type="dxa" w:w="74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GET /enrollments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PUT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DELETE /enrollments/{courseId}/lessons/{lessonId}/complete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GET /enrollments/{courseId}/progress</w:t>
            </w:r>
          </w:p>
        </w:tc>
      </w:tr>
      <w:tr>
        <w:trPr>
          <w:cantSplit/>
          <w:tblHeader w:val="off"/>
        </w:trPr>
        <w:tc>
          <w:tcPr>
            <w:tcW w:type="dxa" w:w="22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certificate-service</w:t>
            </w:r>
          </w:p>
        </w:tc>
        <w:tc>
          <w:tcPr>
            <w:tcW w:type="dxa" w:w="74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GET /certificates/mine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GET /certificates/verify/{code}</w:t>
            </w:r>
            <w:r>
              <w:rPr>
                <w:sz w:val="18"/>
                <w:szCs w:val="18"/>
              </w:rPr>
              <w:t xml:space="preserve"> (public, strict rate limit)</w:t>
            </w:r>
          </w:p>
        </w:tc>
      </w:tr>
      <w:tr>
        <w:trPr>
          <w:cantSplit/>
          <w:tblHeader w:val="off"/>
        </w:trPr>
        <w:tc>
          <w:tcPr>
            <w:tcW w:type="dxa" w:w="22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notification-service</w:t>
            </w:r>
          </w:p>
        </w:tc>
        <w:tc>
          <w:tcPr>
            <w:tcW w:type="dxa" w:w="74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 (event-driven only)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Dependencies and events: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750"/>
        <w:gridCol w:w="2370"/>
        <w:gridCol w:w="2408"/>
      </w:tblGrid>
      <w:tr>
        <w:trPr>
          <w:cantSplit/>
          <w:tblHeader/>
        </w:trPr>
        <w:tc>
          <w:tcPr>
            <w:tcW w:type="dxa" w:w="221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Calls (Feign, with circuit breaker)</w:t>
            </w:r>
          </w:p>
        </w:tc>
        <w:tc>
          <w:tcPr>
            <w:tcW w:type="dxa" w:w="237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Publishes (via outbox)</w:t>
            </w:r>
          </w:p>
        </w:tc>
        <w:tc>
          <w:tcPr>
            <w:tcW w:type="dxa" w:w="240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Consumes</w:t>
            </w:r>
          </w:p>
        </w:tc>
      </w:tr>
      <w:tr>
        <w:trPr>
          <w:cantSplit/>
          <w:tblHeader w:val="off"/>
        </w:trPr>
        <w:tc>
          <w:tcPr>
            <w:tcW w:type="dxa" w:w="221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auth-service</w:t>
            </w:r>
          </w:p>
        </w:tc>
        <w:tc>
          <w:tcPr>
            <w:tcW w:type="dxa" w:w="2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37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40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221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course-service</w:t>
            </w:r>
          </w:p>
        </w:tc>
        <w:tc>
          <w:tcPr>
            <w:tcW w:type="dxa" w:w="2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enrollment-service</w:t>
            </w:r>
            <w:r>
              <w:rPr>
                <w:sz w:val="18"/>
                <w:szCs w:val="18"/>
              </w:rPr>
              <w:t xml:space="preserve">: is the caller enrolled?</w:t>
            </w:r>
          </w:p>
        </w:tc>
        <w:tc>
          <w:tcPr>
            <w:tcW w:type="dxa" w:w="237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40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221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payment-service</w:t>
            </w:r>
          </w:p>
        </w:tc>
        <w:tc>
          <w:tcPr>
            <w:tcW w:type="dxa" w:w="2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course-service</w:t>
            </w:r>
            <w:r>
              <w:rPr>
                <w:sz w:val="18"/>
                <w:szCs w:val="18"/>
              </w:rPr>
              <w:t xml:space="preserve">: price, published state</w:t>
            </w:r>
          </w:p>
        </w:tc>
        <w:tc>
          <w:tcPr>
            <w:tcW w:type="dxa" w:w="237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payment.succeeded</w:t>
            </w:r>
          </w:p>
        </w:tc>
        <w:tc>
          <w:tcPr>
            <w:tcW w:type="dxa" w:w="240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221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enrollment-service</w:t>
            </w:r>
          </w:p>
        </w:tc>
        <w:tc>
          <w:tcPr>
            <w:tcW w:type="dxa" w:w="2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course-service</w:t>
            </w:r>
            <w:r>
              <w:rPr>
                <w:sz w:val="18"/>
                <w:szCs w:val="18"/>
              </w:rPr>
              <w:t xml:space="preserve">: lesson set for progress</w:t>
            </w:r>
          </w:p>
        </w:tc>
        <w:tc>
          <w:tcPr>
            <w:tcW w:type="dxa" w:w="237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enrollment.created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course.completed</w:t>
            </w:r>
          </w:p>
        </w:tc>
        <w:tc>
          <w:tcPr>
            <w:tcW w:type="dxa" w:w="240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payment.succeeded</w:t>
            </w:r>
          </w:p>
        </w:tc>
      </w:tr>
      <w:tr>
        <w:trPr>
          <w:cantSplit/>
          <w:tblHeader w:val="off"/>
        </w:trPr>
        <w:tc>
          <w:tcPr>
            <w:tcW w:type="dxa" w:w="221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certificate-service</w:t>
            </w:r>
          </w:p>
        </w:tc>
        <w:tc>
          <w:tcPr>
            <w:tcW w:type="dxa" w:w="2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course-service</w:t>
            </w:r>
            <w:r>
              <w:rPr>
                <w:sz w:val="18"/>
                <w:szCs w:val="18"/>
              </w:rPr>
              <w:t xml:space="preserve">: course title</w:t>
            </w:r>
          </w:p>
        </w:tc>
        <w:tc>
          <w:tcPr>
            <w:tcW w:type="dxa" w:w="237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certificate.issued</w:t>
            </w:r>
          </w:p>
        </w:tc>
        <w:tc>
          <w:tcPr>
            <w:tcW w:type="dxa" w:w="240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course.completed</w:t>
            </w:r>
          </w:p>
        </w:tc>
      </w:tr>
      <w:tr>
        <w:trPr>
          <w:cantSplit/>
          <w:tblHeader w:val="off"/>
        </w:trPr>
        <w:tc>
          <w:tcPr>
            <w:tcW w:type="dxa" w:w="221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notification-service</w:t>
            </w:r>
          </w:p>
        </w:tc>
        <w:tc>
          <w:tcPr>
            <w:tcW w:type="dxa" w:w="2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auth-service</w:t>
            </w:r>
            <w:r>
              <w:rPr>
                <w:sz w:val="18"/>
                <w:szCs w:val="18"/>
              </w:rPr>
              <w:t xml:space="preserve">: email address;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course-service</w:t>
            </w:r>
            <w:r>
              <w:rPr>
                <w:sz w:val="18"/>
                <w:szCs w:val="18"/>
              </w:rPr>
              <w:t xml:space="preserve">: course title</w:t>
            </w:r>
          </w:p>
        </w:tc>
        <w:tc>
          <w:tcPr>
            <w:tcW w:type="dxa" w:w="237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40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enrollment.created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certificate.issued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Every service follows the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api</w:t>
      </w:r>
      <w:r>
        <w:t xml:space="preserve"> /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application</w:t>
      </w:r>
      <w:r>
        <w:t xml:space="preserve"> /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domain</w:t>
      </w:r>
      <w:r>
        <w:t xml:space="preserve"> /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infrastructure</w:t>
      </w:r>
      <w:r>
        <w:t xml:space="preserve"> layering under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com.example.learnhub.&lt;service&gt;</w:t>
      </w:r>
      <w:r>
        <w:t xml:space="preserve">.</w:t>
      </w:r>
    </w:p>
    <w:p>
      <w:pPr>
        <w:pStyle w:val="Heading2"/>
      </w:pPr>
      <w:bookmarkStart w:name="_Toc14" w:id="14"/>
      <w:r>
        <w:t xml:space="preserve">2.4 Data layer</w:t>
      </w:r>
      <w:bookmarkEnd w:id="14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0"/>
        <w:gridCol w:w="7856"/>
      </w:tblGrid>
      <w:tr>
        <w:trPr>
          <w:cantSplit/>
          <w:tblHeader/>
        </w:trPr>
        <w:tc>
          <w:tcPr>
            <w:tcW w:type="dxa" w:w="189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85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design</w:t>
            </w:r>
          </w:p>
        </w:tc>
      </w:tr>
      <w:tr>
        <w:trPr>
          <w:cantSplit/>
          <w:tblHeader w:val="off"/>
        </w:trPr>
        <w:tc>
          <w:tcPr>
            <w:tcW w:type="dxa" w:w="189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Engine</w:t>
            </w:r>
          </w:p>
        </w:tc>
        <w:tc>
          <w:tcPr>
            <w:tcW w:type="dxa" w:w="785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One PostgreSQL 16 </w:t>
            </w:r>
            <w:r>
              <w:rPr>
                <w:b/>
                <w:bCs/>
                <w:sz w:val="18"/>
                <w:szCs w:val="18"/>
              </w:rPr>
              <w:t xml:space="preserve">instance</w:t>
            </w:r>
            <w:r>
              <w:rPr>
                <w:sz w:val="18"/>
                <w:szCs w:val="18"/>
              </w:rPr>
              <w:t xml:space="preserve"> hosting one </w:t>
            </w:r>
            <w:r>
              <w:rPr>
                <w:b/>
                <w:bCs/>
                <w:sz w:val="18"/>
                <w:szCs w:val="18"/>
              </w:rPr>
              <w:t xml:space="preserve">database per service</w:t>
            </w:r>
            <w:r>
              <w:rPr>
                <w:sz w:val="18"/>
                <w:szCs w:val="18"/>
              </w:rPr>
              <w:t xml:space="preserve">, each with its own credentials (created by the one-shot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db-init</w:t>
            </w:r>
            <w:r>
              <w:rPr>
                <w:sz w:val="18"/>
                <w:szCs w:val="18"/>
              </w:rPr>
              <w:t xml:space="preserve"> container)</w:t>
            </w:r>
          </w:p>
        </w:tc>
      </w:tr>
      <w:tr>
        <w:trPr>
          <w:cantSplit/>
          <w:tblHeader w:val="off"/>
        </w:trPr>
        <w:tc>
          <w:tcPr>
            <w:tcW w:type="dxa" w:w="189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Schema</w:t>
            </w:r>
          </w:p>
        </w:tc>
        <w:tc>
          <w:tcPr>
            <w:tcW w:type="dxa" w:w="785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Flyway migrations per service; no shared tables</w:t>
            </w:r>
          </w:p>
        </w:tc>
      </w:tr>
      <w:tr>
        <w:trPr>
          <w:cantSplit/>
          <w:tblHeader w:val="off"/>
        </w:trPr>
        <w:tc>
          <w:tcPr>
            <w:tcW w:type="dxa" w:w="189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Consistency</w:t>
            </w:r>
          </w:p>
        </w:tc>
        <w:tc>
          <w:tcPr>
            <w:tcW w:type="dxa" w:w="785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Strong within a service; </w:t>
            </w:r>
            <w:r>
              <w:rPr>
                <w:b/>
                <w:bCs/>
                <w:sz w:val="18"/>
                <w:szCs w:val="18"/>
              </w:rPr>
              <w:t xml:space="preserve">eventual</w:t>
            </w:r>
            <w:r>
              <w:rPr>
                <w:sz w:val="18"/>
                <w:szCs w:val="18"/>
              </w:rPr>
              <w:t xml:space="preserve"> across services through events (target: enrollment visible within about 10 s of payment)</w:t>
            </w:r>
          </w:p>
        </w:tc>
      </w:tr>
      <w:tr>
        <w:trPr>
          <w:cantSplit/>
          <w:tblHeader w:val="off"/>
        </w:trPr>
        <w:tc>
          <w:tcPr>
            <w:tcW w:type="dxa" w:w="189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Concurrency</w:t>
            </w:r>
          </w:p>
        </w:tc>
        <w:tc>
          <w:tcPr>
            <w:tcW w:type="dxa" w:w="785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Optimistic locking (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ETag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If-Match</w:t>
            </w:r>
            <w:r>
              <w:rPr>
                <w:sz w:val="18"/>
                <w:szCs w:val="18"/>
              </w:rPr>
              <w:t xml:space="preserve">) for catalog edits; unique constraints plus idempotency records for checkouts, enrollments, completions and certificates</w:t>
            </w:r>
          </w:p>
        </w:tc>
      </w:tr>
      <w:tr>
        <w:trPr>
          <w:cantSplit/>
          <w:tblHeader w:val="off"/>
        </w:trPr>
        <w:tc>
          <w:tcPr>
            <w:tcW w:type="dxa" w:w="189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Durability of events</w:t>
            </w:r>
          </w:p>
        </w:tc>
        <w:tc>
          <w:tcPr>
            <w:tcW w:type="dxa" w:w="785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Transactional outbox tables in payment, enrollment and certificate databases, relayed to RabbitMQ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5" w:id="15"/>
      <w:r>
        <w:t xml:space="preserve">2.5 Messaging, workers and caching</w:t>
      </w:r>
      <w:bookmarkEnd w:id="15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Broker</w:t>
      </w:r>
      <w:r>
        <w:t xml:space="preserve">: RabbitMQ, one topic exchange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learning.events</w:t>
      </w:r>
      <w:r>
        <w:t xml:space="preserve">; each consumer has its own queue and its own DLQ.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Workers</w:t>
      </w:r>
      <w:r>
        <w:t xml:space="preserve">: there is no separate worker tier. Consumers and outbox relays run </w:t>
      </w:r>
      <w:r>
        <w:rPr>
          <w:b/>
          <w:bCs/>
        </w:rPr>
        <w:t xml:space="preserve">inside</w:t>
      </w:r>
      <w:r>
        <w:t xml:space="preserve"> the owning service process, which keeps deployment simple and ties their scaling to the service's own replicas.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Cache</w:t>
      </w:r>
      <w:r>
        <w:t xml:space="preserve">: </w:t>
      </w:r>
      <w:r>
        <w:rPr>
          <w:b/>
          <w:bCs/>
        </w:rPr>
        <w:t xml:space="preserve">none</w:t>
      </w:r>
      <w:r>
        <w:t xml:space="preserve"> today. Catalog reads go to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course-service</w:t>
      </w:r>
      <w:r>
        <w:t xml:space="preserve"> and PostgreSQL every time.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ETag</w:t>
      </w:r>
      <w:r>
        <w:t xml:space="preserve">s already exist on course resources, which makes adding HTTP caching cheap later (see 4.4).</w:t>
      </w:r>
    </w:p>
    <w:p>
      <w:pPr>
        <w:pStyle w:val="Heading2"/>
      </w:pPr>
      <w:bookmarkStart w:name="_Toc16" w:id="16"/>
      <w:r>
        <w:t xml:space="preserve">2.6 Third-party and external services</w:t>
      </w:r>
      <w:bookmarkEnd w:id="16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4"/>
        <w:gridCol w:w="4750"/>
        <w:gridCol w:w="3742"/>
      </w:tblGrid>
      <w:tr>
        <w:trPr>
          <w:cantSplit/>
          <w:tblHeader/>
        </w:trPr>
        <w:tc>
          <w:tcPr>
            <w:tcW w:type="dxa" w:w="125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4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Today</w:t>
            </w:r>
          </w:p>
        </w:tc>
        <w:tc>
          <w:tcPr>
            <w:tcW w:type="dxa" w:w="374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Production need</w:t>
            </w:r>
          </w:p>
        </w:tc>
      </w:tr>
      <w:tr>
        <w:trPr>
          <w:cantSplit/>
          <w:tblHeader w:val="off"/>
        </w:trPr>
        <w:tc>
          <w:tcPr>
            <w:tcW w:type="dxa" w:w="125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Payments</w:t>
            </w:r>
          </w:p>
        </w:tc>
        <w:tc>
          <w:tcPr>
            <w:tcW w:type="dxa" w:w="4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Simulated provider in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payment-service</w:t>
            </w:r>
            <w:r>
              <w:rPr>
                <w:sz w:val="18"/>
                <w:szCs w:val="18"/>
              </w:rPr>
              <w:t xml:space="preserve">, behind a provider interface</w:t>
            </w:r>
          </w:p>
        </w:tc>
        <w:tc>
          <w:tcPr>
            <w:tcW w:type="dxa" w:w="374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real PSP (for example Stripe) with webhooks</w:t>
            </w:r>
          </w:p>
        </w:tc>
      </w:tr>
      <w:tr>
        <w:trPr>
          <w:cantSplit/>
          <w:tblHeader w:val="off"/>
        </w:trPr>
        <w:tc>
          <w:tcPr>
            <w:tcW w:type="dxa" w:w="125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4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SMTP to Mailpit (captured, never delivered)</w:t>
            </w:r>
          </w:p>
        </w:tc>
        <w:tc>
          <w:tcPr>
            <w:tcW w:type="dxa" w:w="374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transactional email provider (SES, SendGrid, Postmark)</w:t>
            </w:r>
          </w:p>
        </w:tc>
      </w:tr>
      <w:tr>
        <w:trPr>
          <w:cantSplit/>
          <w:tblHeader w:val="off"/>
        </w:trPr>
        <w:tc>
          <w:tcPr>
            <w:tcW w:type="dxa" w:w="125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Identity</w:t>
            </w:r>
          </w:p>
        </w:tc>
        <w:tc>
          <w:tcPr>
            <w:tcW w:type="dxa" w:w="4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Self-hosted in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auth-service</w:t>
            </w:r>
            <w:r>
              <w:rPr>
                <w:sz w:val="18"/>
                <w:szCs w:val="18"/>
              </w:rPr>
              <w:t xml:space="preserve"> (BCrypt, HS256 JWT, rotating refresh tokens)</w:t>
            </w:r>
          </w:p>
        </w:tc>
        <w:tc>
          <w:tcPr>
            <w:tcW w:type="dxa" w:w="374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Keep, but move to asymmetric signing (4.2)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7" w:id="17"/>
      <w:r>
        <w:t xml:space="preserve">2.7 Security model summary</w:t>
      </w:r>
      <w:bookmarkEnd w:id="17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Authentication</w:t>
      </w:r>
      <w:r>
        <w:t xml:space="preserve">: access JWT, HS256, </w:t>
      </w:r>
      <w:r>
        <w:rPr>
          <w:b/>
          <w:bCs/>
        </w:rPr>
        <w:t xml:space="preserve">15-minute</w:t>
      </w:r>
      <w:r>
        <w:t xml:space="preserve"> lifetime; refresh token </w:t>
      </w:r>
      <w:r>
        <w:rPr>
          <w:b/>
          <w:bCs/>
        </w:rPr>
        <w:t xml:space="preserve">30 days</w:t>
      </w:r>
      <w:r>
        <w:t xml:space="preserve">, rotated on every use. Reusing a spent refresh token revokes the whole session.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Authorization</w:t>
      </w:r>
      <w:r>
        <w:t xml:space="preserve">: coarse checks at the gateway (authenticated,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ADMINISTRATOR</w:t>
      </w:r>
      <w:r>
        <w:t xml:space="preserve"> role on admin routes); fine-grained ownership checks inside each service (course owner, own payments, own enrollments).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Secrets</w:t>
      </w:r>
      <w:r>
        <w:t xml:space="preserve">: environment variables from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.env</w:t>
      </w:r>
      <w:r>
        <w:t xml:space="preserve"> (git-ignored);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.env.example</w:t>
      </w:r>
      <w:r>
        <w:t xml:space="preserve"> documents each one with a placeholder.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Internal endpoints</w:t>
      </w:r>
      <w:r>
        <w:t xml:space="preserve"> (for example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/api/v1/internal/courses/{id}</w:t>
      </w:r>
      <w:r>
        <w:t xml:space="preserve">) have no gateway route, so clients cannot reach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Platform servers</w:t>
      </w:r>
      <w:r>
        <w:t xml:space="preserve">: Eureka and config server require basic auth outside the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local</w:t>
      </w:r>
      <w:r>
        <w:t xml:space="preserve"> profile; only health probes are open.</w:t>
      </w:r>
    </w:p>
    <w:p>
      <w:pPr>
        <w:pStyle w:val="Heading1"/>
        <w:pageBreakBefore/>
      </w:pPr>
      <w:bookmarkStart w:name="_Toc18" w:id="18"/>
      <w:r>
        <w:t xml:space="preserve">3. Data flow and sequence</w:t>
      </w:r>
      <w:bookmarkEnd w:id="18"/>
    </w:p>
    <w:p>
      <w:pPr>
        <w:pStyle w:val="Heading2"/>
      </w:pPr>
      <w:bookmarkStart w:name="_Toc19" w:id="19"/>
      <w:r>
        <w:t xml:space="preserve">3.1 Authenticated request through the edge (every protected call)</w:t>
      </w:r>
      <w:bookmarkEnd w:id="19"/>
    </w:p>
    <w:p>
      <w:pPr>
        <w:keepNext/>
        <w:shd w:fill="F3F5F8" w:color="auto" w:val="clear"/>
        <w:spacing w:after="0" w:before="80" w:line="220"/>
      </w:pPr>
      <w:r>
        <w:rPr>
          <w:rFonts w:ascii="Consolas" w:cs="Consolas" w:eastAsia="Consolas" w:hAnsi="Consolas"/>
          <w:sz w:val="13"/>
          <w:szCs w:val="13"/>
        </w:rPr>
        <w:t xml:space="preserve">Browser          nginx (9100)        api-gateway (9080)              target service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 GET /api/v1/enrollments            |               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 Authorization: Bearer &lt;access JWT&gt; |               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|--------------&gt;|                     |               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              |  proxy_pass /api/** |               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              |--------------------&gt;| 1. correlation ID (new or kept)|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              |                     | 2. rate-limit bucket check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              |                     | 3. route match; public?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              |                     | 4. verify JWT (HS256, expiry)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              |                     | 5. strip token, add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              |                     |    X-User-Id / X-User-Role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              |                     | 6. lb://enrollment-service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              |                     |-------------------------------&gt;|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              |                     |                                | ownership check,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              |                     |                                | query own DB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               |                     |&lt;-------------------------------|</w:t>
      </w:r>
    </w:p>
    <w:p>
      <w:pPr>
        <w:keepNext w:val="false"/>
        <w:shd w:fill="F3F5F8" w:color="auto" w:val="clear"/>
        <w:spacing w:after="16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  |&lt;--------------|&lt;--------------------|  200 JSON, or RFC 7807 with correlationId</w:t>
      </w:r>
    </w:p>
    <w:p>
      <w:pPr>
        <w:spacing w:after="140"/>
      </w:pPr>
      <w:r>
        <w:rPr>
          <w:b/>
          <w:bCs/>
        </w:rPr>
        <w:t xml:space="preserve">Token expiry path</w:t>
      </w:r>
      <w:r>
        <w:t xml:space="preserve">: the service is never reached with an expired token. The gateway returns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401</w:t>
      </w:r>
      <w:r>
        <w:t xml:space="preserve">. The SPA's API client holds every in-flight request, makes </w:t>
      </w:r>
      <w:r>
        <w:rPr>
          <w:b/>
          <w:bCs/>
        </w:rPr>
        <w:t xml:space="preserve">one</w:t>
      </w:r>
      <w:r>
        <w:t xml:space="preserve">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POST /auth/refresh</w:t>
      </w:r>
      <w:r>
        <w:t xml:space="preserve">, then replays the held requests with the new access token. If the refresh itself fails, the session is cleared and the user is sent to sign-in with a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returnTo</w:t>
      </w:r>
      <w:r>
        <w:t xml:space="preserve"> link.</w:t>
      </w:r>
    </w:p>
    <w:p>
      <w:pPr>
        <w:pStyle w:val="Heading2"/>
      </w:pPr>
      <w:bookmarkStart w:name="_Toc20" w:id="20"/>
      <w:r>
        <w:t xml:space="preserve">3.2 Core flow A: paid checkout to enrollment (asynchronous, exactly-once effect)</w:t>
      </w:r>
      <w:bookmarkEnd w:id="20"/>
    </w:p>
    <w:p>
      <w:pPr>
        <w:keepNext/>
        <w:shd w:fill="F3F5F8" w:color="auto" w:val="clear"/>
        <w:spacing w:after="0" w:before="80" w:line="220"/>
      </w:pPr>
      <w:r>
        <w:rPr>
          <w:rFonts w:ascii="Consolas" w:cs="Consolas" w:eastAsia="Consolas" w:hAnsi="Consolas"/>
          <w:sz w:val="13"/>
          <w:szCs w:val="13"/>
        </w:rPr>
        <w:t xml:space="preserve">SPA            gateway     payment-svc        course-svc   RabbitMQ          enrollment-svc   notification-svc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POST /checkouts            |                    |           |                    |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{courseId, idempotencyKey:K, paymentToken:sim-success}      |                    |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|----------&gt;|---------------&gt;|                    |           |                    |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          |                | key K seen? -&gt; return stored result (no 2nd charge) |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          |                | GET internal course (Feign, CB) ----------&gt;|        |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          |                |&lt;-------------- price, published -----------|        |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          |                | charge via provider (simulated)            |        |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          |                | TX: payment=SUCCEEDED + outbox row         |        |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|&lt;----------|&lt;---------------| 201 {paymentId, status: SUCCEEDED}         |        |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          |                | relay (polls every 2 s) --&gt; payment.succeeded --&gt;|  |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          |                |                    |           |---------------&gt;|   |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          |                |                    |           |  eventId seen? skip; else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          |                |                    |           |  TX: enrollment + outbox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          |                |                    |           |&lt;-- enrollment.created ----|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          |                |                    |           |------------------------------------&gt;| email</w:t>
      </w:r>
    </w:p>
    <w:p>
      <w:pPr>
        <w:keepNext w:val="false"/>
        <w:shd w:fill="F3F5F8" w:color="auto" w:val="clear"/>
        <w:spacing w:after="16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poll GET /enrollments every 1 s (up to 15 s) until the course appears -&gt; "You're enrolled!"        |</w:t>
      </w:r>
    </w:p>
    <w:p>
      <w:pPr>
        <w:spacing w:after="140"/>
      </w:pPr>
      <w:r>
        <w:t xml:space="preserve">Behaviour under failure: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3"/>
        <w:gridCol w:w="3303"/>
        <w:gridCol w:w="3750"/>
      </w:tblGrid>
      <w:tr>
        <w:trPr>
          <w:cantSplit/>
          <w:tblHeader/>
        </w:trPr>
        <w:tc>
          <w:tcPr>
            <w:tcW w:type="dxa" w:w="269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Failure</w:t>
            </w:r>
          </w:p>
        </w:tc>
        <w:tc>
          <w:tcPr>
            <w:tcW w:type="dxa" w:w="33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W w:type="dxa" w:w="3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is safe</w:t>
            </w:r>
          </w:p>
        </w:tc>
      </w:tr>
      <w:tr>
        <w:trPr>
          <w:cantSplit/>
          <w:tblHeader w:val="off"/>
        </w:trPr>
        <w:tc>
          <w:tcPr>
            <w:tcW w:type="dxa" w:w="269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 double-clicks or retries after a timeout</w:t>
            </w:r>
          </w:p>
        </w:tc>
        <w:tc>
          <w:tcPr>
            <w:tcW w:type="dxa" w:w="33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Same idempotency key; the stored result is returned</w:t>
            </w:r>
          </w:p>
        </w:tc>
        <w:tc>
          <w:tcPr>
            <w:tcW w:type="dxa" w:w="3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One payment per key; a key reused with a different body is refused</w:t>
            </w:r>
          </w:p>
        </w:tc>
      </w:tr>
      <w:tr>
        <w:trPr>
          <w:cantSplit/>
          <w:tblHeader w:val="off"/>
        </w:trPr>
        <w:tc>
          <w:tcPr>
            <w:tcW w:type="dxa" w:w="269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sim-decline</w:t>
            </w:r>
          </w:p>
        </w:tc>
        <w:tc>
          <w:tcPr>
            <w:tcW w:type="dxa" w:w="33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Payment recorded as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DECLINED</w:t>
            </w:r>
            <w:r>
              <w:rPr>
                <w:sz w:val="18"/>
                <w:szCs w:val="18"/>
              </w:rPr>
              <w:t xml:space="preserve"> with a reason; nothing is published</w:t>
            </w:r>
          </w:p>
        </w:tc>
        <w:tc>
          <w:tcPr>
            <w:tcW w:type="dxa" w:w="3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 enrollment, no success counted; the SPA issues a new key for the next attempt</w:t>
            </w:r>
          </w:p>
        </w:tc>
      </w:tr>
      <w:tr>
        <w:trPr>
          <w:cantSplit/>
          <w:tblHeader w:val="off"/>
        </w:trPr>
        <w:tc>
          <w:tcPr>
            <w:tcW w:type="dxa" w:w="269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sim-unavailable</w:t>
            </w:r>
            <w:r>
              <w:rPr>
                <w:sz w:val="18"/>
                <w:szCs w:val="18"/>
              </w:rPr>
              <w:t xml:space="preserve"> / course-service down</w:t>
            </w:r>
          </w:p>
        </w:tc>
        <w:tc>
          <w:tcPr>
            <w:tcW w:type="dxa" w:w="33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Problem details with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correlationId</w:t>
            </w:r>
            <w:r>
              <w:rPr>
                <w:sz w:val="18"/>
                <w:szCs w:val="18"/>
              </w:rPr>
              <w:t xml:space="preserve">; circuit breaker opens</w:t>
            </w:r>
          </w:p>
        </w:tc>
        <w:tc>
          <w:tcPr>
            <w:tcW w:type="dxa" w:w="3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Fallback refuses rather than guessing; the user can retry safely with the same key</w:t>
            </w:r>
          </w:p>
        </w:tc>
      </w:tr>
      <w:tr>
        <w:trPr>
          <w:cantSplit/>
          <w:tblHeader w:val="off"/>
        </w:trPr>
        <w:tc>
          <w:tcPr>
            <w:tcW w:type="dxa" w:w="269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RabbitMQ briefly unreachable</w:t>
            </w:r>
          </w:p>
        </w:tc>
        <w:tc>
          <w:tcPr>
            <w:tcW w:type="dxa" w:w="33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Payment already committed with its outbox row</w:t>
            </w:r>
          </w:p>
        </w:tc>
        <w:tc>
          <w:tcPr>
            <w:tcW w:type="dxa" w:w="3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Relay publishes when the broker returns; nothing is lost</w:t>
            </w:r>
          </w:p>
        </w:tc>
      </w:tr>
      <w:tr>
        <w:trPr>
          <w:cantSplit/>
          <w:tblHeader w:val="off"/>
        </w:trPr>
        <w:tc>
          <w:tcPr>
            <w:tcW w:type="dxa" w:w="269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Event redelivered</w:t>
            </w:r>
          </w:p>
        </w:tc>
        <w:tc>
          <w:tcPr>
            <w:tcW w:type="dxa" w:w="33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Consumer finds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eventId</w:t>
            </w:r>
            <w:r>
              <w:rPr>
                <w:sz w:val="18"/>
                <w:szCs w:val="18"/>
              </w:rPr>
              <w:t xml:space="preserve"> already processed</w:t>
            </w:r>
          </w:p>
        </w:tc>
        <w:tc>
          <w:tcPr>
            <w:tcW w:type="dxa" w:w="3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 duplicate enrollment or email</w:t>
            </w:r>
          </w:p>
        </w:tc>
      </w:tr>
      <w:tr>
        <w:trPr>
          <w:cantSplit/>
          <w:tblHeader w:val="off"/>
        </w:trPr>
        <w:tc>
          <w:tcPr>
            <w:tcW w:type="dxa" w:w="269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Consumer keeps failing</w:t>
            </w:r>
          </w:p>
        </w:tc>
        <w:tc>
          <w:tcPr>
            <w:tcW w:type="dxa" w:w="33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 retries with backoff, then DLQ</w:t>
            </w:r>
          </w:p>
        </w:tc>
        <w:tc>
          <w:tcPr>
            <w:tcW w:type="dxa" w:w="3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queue keeps moving; the poison message waits for an operator</w:t>
            </w:r>
          </w:p>
        </w:tc>
      </w:tr>
      <w:tr>
        <w:trPr>
          <w:cantSplit/>
          <w:tblHeader w:val="off"/>
        </w:trPr>
        <w:tc>
          <w:tcPr>
            <w:tcW w:type="dxa" w:w="269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Enrollment takes longer than 15 s</w:t>
            </w:r>
          </w:p>
        </w:tc>
        <w:tc>
          <w:tcPr>
            <w:tcW w:type="dxa" w:w="33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SPA shows "payment succeeded, enrollment still being confirmed"</w:t>
            </w:r>
          </w:p>
        </w:tc>
        <w:tc>
          <w:tcPr>
            <w:tcW w:type="dxa" w:w="37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 is told the truth; the enrollment still arrives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Free courses follow the same path but skip the provider call.</w:t>
      </w:r>
    </w:p>
    <w:p>
      <w:pPr>
        <w:pStyle w:val="Heading2"/>
      </w:pPr>
      <w:bookmarkStart w:name="_Toc21" w:id="21"/>
      <w:r>
        <w:t xml:space="preserve">3.3 Core flow B: completing a course to a verifiable certificate</w:t>
      </w:r>
      <w:bookmarkEnd w:id="21"/>
    </w:p>
    <w:p>
      <w:pPr>
        <w:keepNext/>
        <w:shd w:fill="F3F5F8" w:color="auto" w:val="clear"/>
        <w:spacing w:after="0" w:before="80" w:line="220"/>
      </w:pPr>
      <w:r>
        <w:rPr>
          <w:rFonts w:ascii="Consolas" w:cs="Consolas" w:eastAsia="Consolas" w:hAnsi="Consolas"/>
          <w:sz w:val="13"/>
          <w:szCs w:val="13"/>
        </w:rPr>
        <w:t xml:space="preserve">SPA         gateway   enrollment-svc                 RabbitMQ      certificate-svc       notification-svc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PUT /enrollments/{c}/lessons/{l}/complete           |               |     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|--------&gt;|--------&gt;| enrolled? (own DB)                |               |     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        |         | upsert completion (idempotent)    |               |     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        |         | all lessons done AND not yet completed?           |     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        |         |   -&gt; TX: enrollment=COMPLETED + outbox (once, permanently)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|&lt;--------|&lt;--------| 200 {completed, total, percent}   |               |               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        |         | relay --&gt; course.completed ------&gt;|--------------&gt;| eventId seen? skip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        |         |                                   |               | one cert per (student,course)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        |         |                                   |               | 16-char code, title (Feign)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        |         |                                   |&lt;-- certificate.issued (outbox)       |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        |         |                                   |-------------------------------------&gt;| email</w:t>
      </w:r>
    </w:p>
    <w:p>
      <w:pPr>
        <w:keepNext/>
        <w:shd w:fill="F3F5F8" w:color="auto" w:val="clear"/>
        <w:spacing w:after="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Anyone: GET /certificates/verify/{code}  (public, strict rate-limit bucket)                  |</w:t>
      </w:r>
    </w:p>
    <w:p>
      <w:pPr>
        <w:keepNext w:val="false"/>
        <w:shd w:fill="F3F5F8" w:color="auto" w:val="clear"/>
        <w:spacing w:after="160" w:before="0" w:line="220"/>
      </w:pPr>
      <w:r>
        <w:rPr>
          <w:rFonts w:ascii="Consolas" w:cs="Consolas" w:eastAsia="Consolas" w:hAnsi="Consolas"/>
          <w:sz w:val="13"/>
          <w:szCs w:val="13"/>
        </w:rPr>
        <w:t xml:space="preserve"> |         -&gt; {valid, courseTitle, completedOn}  (no holder identity is returned)               |</w:t>
      </w:r>
    </w:p>
    <w:p>
      <w:pPr>
        <w:spacing w:after="140"/>
      </w:pPr>
      <w:r>
        <w:t xml:space="preserve">Course completion is guarded so that it fires </w:t>
      </w:r>
      <w:r>
        <w:rPr>
          <w:b/>
          <w:bCs/>
        </w:rPr>
        <w:t xml:space="preserve">once</w:t>
      </w:r>
      <w:r>
        <w:t xml:space="preserve">, even under ten concurrent completions of the last lessons and even if lessons are later unmarked and marked again.</w:t>
      </w:r>
    </w:p>
    <w:p>
      <w:pPr>
        <w:pStyle w:val="Heading2"/>
      </w:pPr>
      <w:bookmarkStart w:name="_Toc22" w:id="22"/>
      <w:r>
        <w:t xml:space="preserve">3.4 Content gating (synchronous, fail-closed)</w:t>
      </w:r>
      <w:bookmarkEnd w:id="22"/>
    </w:p>
    <w:p>
      <w:pPr>
        <w:spacing w:after="140"/>
      </w:pPr>
      <w:r>
        <w:rPr>
          <w:rFonts w:ascii="Consolas" w:cs="Consolas" w:eastAsia="Consolas" w:hAnsi="Consolas"/>
          <w:color w:val="8A2B2B"/>
          <w:sz w:val="19"/>
          <w:szCs w:val="19"/>
        </w:rPr>
        <w:t xml:space="preserve">GET /courses/{id}/content</w:t>
      </w:r>
      <w:r>
        <w:t xml:space="preserve"> is answered by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course-service</w:t>
      </w:r>
      <w:r>
        <w:t xml:space="preserve">. It serves full lessons to the owning instructor, an administrator, or a student whom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enrollment-service</w:t>
      </w:r>
      <w:r>
        <w:t xml:space="preserve"> confirms as enrolled (Feign with a circuit breaker). If enrollment status </w:t>
      </w:r>
      <w:r>
        <w:rPr>
          <w:b/>
          <w:bCs/>
        </w:rPr>
        <w:t xml:space="preserve">cannot be confirmed</w:t>
      </w:r>
      <w:r>
        <w:t xml:space="preserve">, the fallback returns a temporary error and never the content. The SPA shows "We could not confirm your enrollment right now" with a Retry button.</w:t>
      </w:r>
    </w:p>
    <w:p>
      <w:pPr>
        <w:pStyle w:val="Heading1"/>
        <w:pageBreakBefore/>
      </w:pPr>
      <w:bookmarkStart w:name="_Toc23" w:id="23"/>
      <w:r>
        <w:t xml:space="preserve">4. Technology recommendations and trade-offs</w:t>
      </w:r>
      <w:bookmarkEnd w:id="23"/>
    </w:p>
    <w:p>
      <w:pPr>
        <w:pStyle w:val="Heading2"/>
      </w:pPr>
      <w:bookmarkStart w:name="_Toc24" w:id="24"/>
      <w:r>
        <w:t xml:space="preserve">4.1 Keep</w:t>
      </w:r>
      <w:bookmarkEnd w:id="24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8"/>
        <w:gridCol w:w="5178"/>
      </w:tblGrid>
      <w:tr>
        <w:trPr>
          <w:cantSplit/>
          <w:tblHeader/>
        </w:trPr>
        <w:tc>
          <w:tcPr>
            <w:tcW w:type="dxa" w:w="456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Keep</w:t>
            </w:r>
          </w:p>
        </w:tc>
        <w:tc>
          <w:tcPr>
            <w:tcW w:type="dxa" w:w="517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  <w:tblHeader w:val="off"/>
        </w:trPr>
        <w:tc>
          <w:tcPr>
            <w:tcW w:type="dxa" w:w="456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Microservices split by bounded context</w:t>
            </w:r>
          </w:p>
        </w:tc>
        <w:tc>
          <w:tcPr>
            <w:tcW w:type="dxa" w:w="517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Boundaries match the business. Each service is small, owns its data and has a clear event contract. Merging now would throw away proven work for little gain</w:t>
            </w:r>
          </w:p>
        </w:tc>
      </w:tr>
      <w:tr>
        <w:trPr>
          <w:cantSplit/>
          <w:tblHeader w:val="off"/>
        </w:trPr>
        <w:tc>
          <w:tcPr>
            <w:tcW w:type="dxa" w:w="456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Gateway-only entry, protected by default</w:t>
            </w:r>
          </w:p>
        </w:tc>
        <w:tc>
          <w:tcPr>
            <w:tcW w:type="dxa" w:w="517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One place for authentication, rate limits, CORS and correlation, and fewer ways to expose something by mistake</w:t>
            </w:r>
          </w:p>
        </w:tc>
      </w:tr>
      <w:tr>
        <w:trPr>
          <w:cantSplit/>
          <w:tblHeader w:val="off"/>
        </w:trPr>
        <w:tc>
          <w:tcPr>
            <w:tcW w:type="dxa" w:w="456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Outbox, idempotent consumers, DLQs, idempotency keys</w:t>
            </w:r>
          </w:p>
        </w:tc>
        <w:tc>
          <w:tcPr>
            <w:tcW w:type="dxa" w:w="517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This is the correctness core of the platform. These patterns are what make payments and enrollments exactly-once in effect. Do not trade them away for throughput</w:t>
            </w:r>
          </w:p>
        </w:tc>
      </w:tr>
      <w:tr>
        <w:trPr>
          <w:cantSplit/>
          <w:tblHeader w:val="off"/>
        </w:trPr>
        <w:tc>
          <w:tcPr>
            <w:tcW w:type="dxa" w:w="456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RabbitMQ topic exchange with per-consumer queues</w:t>
            </w:r>
          </w:p>
        </w:tc>
        <w:tc>
          <w:tcPr>
            <w:tcW w:type="dxa" w:w="517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Right-sized for the event volume; easy to operate; fan-out without coupling</w:t>
            </w:r>
          </w:p>
        </w:tc>
      </w:tr>
      <w:tr>
        <w:trPr>
          <w:cantSplit/>
          <w:tblHeader w:val="off"/>
        </w:trPr>
        <w:tc>
          <w:tcPr>
            <w:tcW w:type="dxa" w:w="456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PostgreSQL with Flyway</w:t>
            </w:r>
          </w:p>
        </w:tc>
        <w:tc>
          <w:tcPr>
            <w:tcW w:type="dxa" w:w="517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Mature, transactional and well understood; carries the outbox pattern naturally</w:t>
            </w:r>
          </w:p>
        </w:tc>
      </w:tr>
      <w:tr>
        <w:trPr>
          <w:cantSplit/>
          <w:tblHeader w:val="off"/>
        </w:trPr>
        <w:tc>
          <w:tcPr>
            <w:tcW w:type="dxa" w:w="456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React 19 SPA with no UI framework or state library, OpenAPI-generated types</w:t>
            </w:r>
          </w:p>
        </w:tc>
        <w:tc>
          <w:tcPr>
            <w:tcW w:type="dxa" w:w="517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Small surface, few dependencies, contract drift shows up at compile time</w:t>
            </w:r>
          </w:p>
        </w:tc>
      </w:tr>
      <w:tr>
        <w:trPr>
          <w:cantSplit/>
          <w:tblHeader w:val="off"/>
        </w:trPr>
        <w:tc>
          <w:tcPr>
            <w:tcW w:type="dxa" w:w="456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Test-first with Testcontainers</w:t>
            </w:r>
          </w:p>
        </w:tc>
        <w:tc>
          <w:tcPr>
            <w:tcW w:type="dxa" w:w="517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Real databases and brokers in tests are why these guarantees can be trusted</w:t>
            </w:r>
          </w:p>
        </w:tc>
      </w:tr>
      <w:tr>
        <w:trPr>
          <w:cantSplit/>
          <w:tblHeader w:val="off"/>
        </w:trPr>
        <w:tc>
          <w:tcPr>
            <w:tcW w:type="dxa" w:w="456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RFC 7807 errors with correlation IDs, end to end</w:t>
            </w:r>
          </w:p>
        </w:tc>
        <w:tc>
          <w:tcPr>
            <w:tcW w:type="dxa" w:w="517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One error model; a user's reference code leads straight to the backend log line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5" w:id="25"/>
      <w:r>
        <w:t xml:space="preserve">4.2 Fix now (defects and gaps found in the live test run on 2026-10-20)</w:t>
      </w:r>
      <w:bookmarkEnd w:id="25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"/>
        <w:gridCol w:w="3497"/>
        <w:gridCol w:w="3235"/>
        <w:gridCol w:w="2539"/>
      </w:tblGrid>
      <w:tr>
        <w:trPr>
          <w:cantSplit/>
          <w:tblHeader/>
        </w:trPr>
        <w:tc>
          <w:tcPr>
            <w:tcW w:type="dxa" w:w="47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9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23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53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Trade-off</w:t>
            </w:r>
          </w:p>
        </w:tc>
      </w:tr>
      <w:tr>
        <w:trPr>
          <w:cantSplit/>
          <w:tblHeader w:val="off"/>
        </w:trPr>
        <w:tc>
          <w:tcPr>
            <w:tcW w:type="dxa" w:w="47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F1</w:t>
            </w:r>
          </w:p>
        </w:tc>
        <w:tc>
          <w:tcPr>
            <w:tcW w:type="dxa" w:w="349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CORS workaround deviates from constitution XIII.</w:t>
            </w:r>
            <w:r>
              <w:rPr>
                <w:sz w:val="18"/>
                <w:szCs w:val="18"/>
              </w:rPr>
              <w:t xml:space="preserve"> Registration from the browser returned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403</w:t>
            </w:r>
            <w:r>
              <w:rPr>
                <w:sz w:val="18"/>
                <w:szCs w:val="18"/>
              </w:rPr>
              <w:t xml:space="preserve">. The quick fix (commit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9040f8d</w:t>
            </w:r>
            <w:r>
              <w:rPr>
                <w:sz w:val="18"/>
                <w:szCs w:val="18"/>
              </w:rPr>
              <w:t xml:space="preserve">) added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http://localhost:9100</w:t>
            </w:r>
            <w:r>
              <w:rPr>
                <w:sz w:val="18"/>
                <w:szCs w:val="18"/>
              </w:rPr>
              <w:t xml:space="preserve"> to the gateway's CORS allowed origins. Constitution XIII says no browser origin should need adding, because calls are same-origin. Likely root cause: nginx forwards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Host: $host</w:t>
            </w:r>
            <w:r>
              <w:rPr>
                <w:sz w:val="18"/>
                <w:szCs w:val="18"/>
              </w:rPr>
              <w:t xml:space="preserve">, which </w:t>
            </w:r>
            <w:r>
              <w:rPr>
                <w:b/>
                <w:bCs/>
                <w:sz w:val="18"/>
                <w:szCs w:val="18"/>
              </w:rPr>
              <w:t xml:space="preserve">drops the port</w:t>
            </w:r>
            <w:r>
              <w:rPr>
                <w:sz w:val="18"/>
                <w:szCs w:val="18"/>
              </w:rPr>
              <w:t xml:space="preserve">, so the gateway compares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Origin: http://localhost:9100</w:t>
            </w:r>
            <w:r>
              <w:rPr>
                <w:sz w:val="18"/>
                <w:szCs w:val="18"/>
              </w:rPr>
              <w:t xml:space="preserve"> with host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localhost</w:t>
            </w:r>
            <w:r>
              <w:rPr>
                <w:sz w:val="18"/>
                <w:szCs w:val="18"/>
              </w:rPr>
              <w:t xml:space="preserve"> and treats a same-origin call as cross-origin</w:t>
            </w:r>
          </w:p>
        </w:tc>
        <w:tc>
          <w:tcPr>
            <w:tcW w:type="dxa" w:w="323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Change nginx to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proxy_set_header Host $http_host;</w:t>
            </w:r>
            <w:r>
              <w:rPr>
                <w:sz w:val="18"/>
                <w:szCs w:val="18"/>
              </w:rPr>
              <w:t xml:space="preserve"> (or send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X-Forwarded-Host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-Port</w:t>
            </w:r>
            <w:r>
              <w:rPr>
                <w:sz w:val="18"/>
                <w:szCs w:val="18"/>
              </w:rPr>
              <w:t xml:space="preserve"> and enable forwarded-header handling in the gateway). Then </w:t>
            </w:r>
            <w:r>
              <w:rPr>
                <w:b/>
                <w:bCs/>
                <w:sz w:val="18"/>
                <w:szCs w:val="18"/>
              </w:rPr>
              <w:t xml:space="preserve">remove</w:t>
            </w:r>
            <w:r>
              <w:rPr>
                <w:sz w:val="18"/>
                <w:szCs w:val="18"/>
              </w:rPr>
              <w:t xml:space="preserve"> the 9100 origin and prove it with a smoke test that POSTs with an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Origin</w:t>
            </w:r>
            <w:r>
              <w:rPr>
                <w:sz w:val="18"/>
                <w:szCs w:val="18"/>
              </w:rPr>
              <w:t xml:space="preserve"> header</w:t>
            </w:r>
          </w:p>
        </w:tc>
        <w:tc>
          <w:tcPr>
            <w:tcW w:type="dxa" w:w="253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Very small change. It restores the constitutional guarantee and avoids hard-coding an origin per environment</w:t>
            </w:r>
          </w:p>
        </w:tc>
      </w:tr>
      <w:tr>
        <w:trPr>
          <w:cantSplit/>
          <w:tblHeader w:val="off"/>
        </w:trPr>
        <w:tc>
          <w:tcPr>
            <w:tcW w:type="dxa" w:w="47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F2</w:t>
            </w:r>
          </w:p>
        </w:tc>
        <w:tc>
          <w:tcPr>
            <w:tcW w:type="dxa" w:w="349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Frontend health check used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localhost</w:t>
            </w:r>
            <w:r>
              <w:rPr>
                <w:sz w:val="18"/>
                <w:szCs w:val="18"/>
              </w:rPr>
              <w:t xml:space="preserve">; busybox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wget</w:t>
            </w:r>
            <w:r>
              <w:rPr>
                <w:sz w:val="18"/>
                <w:szCs w:val="18"/>
              </w:rPr>
              <w:t xml:space="preserve"> resolved it to IPv6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::1</w:t>
            </w:r>
            <w:r>
              <w:rPr>
                <w:sz w:val="18"/>
                <w:szCs w:val="18"/>
              </w:rPr>
              <w:t xml:space="preserve">, but nginx listens on IPv4 only</w:t>
            </w:r>
          </w:p>
        </w:tc>
        <w:tc>
          <w:tcPr>
            <w:tcW w:type="dxa" w:w="323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Already fixed (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127.0.0.1</w:t>
            </w:r>
            <w:r>
              <w:rPr>
                <w:sz w:val="18"/>
                <w:szCs w:val="18"/>
              </w:rPr>
              <w:t xml:space="preserve">). Also add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listen [::]:80;</w:t>
            </w:r>
            <w:r>
              <w:rPr>
                <w:sz w:val="18"/>
                <w:szCs w:val="18"/>
              </w:rPr>
              <w:t xml:space="preserve"> to the nginx template so IPv6 clients work</w:t>
            </w:r>
          </w:p>
        </w:tc>
        <w:tc>
          <w:tcPr>
            <w:tcW w:type="dxa" w:w="253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47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F3</w:t>
            </w:r>
          </w:p>
        </w:tc>
        <w:tc>
          <w:tcPr>
            <w:tcW w:type="dxa" w:w="349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Building every image in parallel on one WSL host exhausted memory (BuildKit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SIGBUS</w:t>
            </w:r>
            <w:r>
              <w:rPr>
                <w:sz w:val="18"/>
                <w:szCs w:val="18"/>
              </w:rPr>
              <w:t xml:space="preserve">) and corrupted the WSL distro</w:t>
            </w:r>
          </w:p>
        </w:tc>
        <w:tc>
          <w:tcPr>
            <w:tcW w:type="dxa" w:w="323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Build images </w:t>
            </w:r>
            <w:r>
              <w:rPr>
                <w:b/>
                <w:bCs/>
                <w:sz w:val="18"/>
                <w:szCs w:val="18"/>
              </w:rPr>
              <w:t xml:space="preserve">once in CI</w:t>
            </w:r>
            <w:r>
              <w:rPr>
                <w:sz w:val="18"/>
                <w:szCs w:val="18"/>
              </w:rPr>
              <w:t xml:space="preserve">, push them to a registry, and have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up.sh</w:t>
            </w:r>
            <w:r>
              <w:rPr>
                <w:sz w:val="18"/>
                <w:szCs w:val="18"/>
              </w:rPr>
              <w:t xml:space="preserve"> pull by default (build only with an explicit flag). Cap local build parallelism</w:t>
            </w:r>
          </w:p>
        </w:tc>
        <w:tc>
          <w:tcPr>
            <w:tcW w:type="dxa" w:w="253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Needs a container registry; much faster and more reliable local start-up</w:t>
            </w:r>
          </w:p>
        </w:tc>
      </w:tr>
      <w:tr>
        <w:trPr>
          <w:cantSplit/>
          <w:tblHeader w:val="off"/>
        </w:trPr>
        <w:tc>
          <w:tcPr>
            <w:tcW w:type="dxa" w:w="47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F4</w:t>
            </w:r>
          </w:p>
        </w:tc>
        <w:tc>
          <w:tcPr>
            <w:tcW w:type="dxa" w:w="349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up.sh</w:t>
            </w:r>
            <w:r>
              <w:rPr>
                <w:sz w:val="18"/>
                <w:szCs w:val="18"/>
              </w:rPr>
              <w:t xml:space="preserve"> reported "Platform is up" when </w:t>
            </w:r>
            <w:r>
              <w:rPr>
                <w:b/>
                <w:bCs/>
                <w:sz w:val="18"/>
                <w:szCs w:val="18"/>
              </w:rPr>
              <w:t xml:space="preserve">no</w:t>
            </w:r>
            <w:r>
              <w:rPr>
                <w:sz w:val="18"/>
                <w:szCs w:val="18"/>
              </w:rPr>
              <w:t xml:space="preserve"> containers existed (an empty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docker compose ps</w:t>
            </w:r>
            <w:r>
              <w:rPr>
                <w:sz w:val="18"/>
                <w:szCs w:val="18"/>
              </w:rPr>
              <w:t xml:space="preserve"> counts as "nothing unhealthy")</w:t>
            </w:r>
          </w:p>
        </w:tc>
        <w:tc>
          <w:tcPr>
            <w:tcW w:type="dxa" w:w="323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Treat "zero running services" or "expected service missing" as failure; compare against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docker compose config --services</w:t>
            </w:r>
          </w:p>
        </w:tc>
        <w:tc>
          <w:tcPr>
            <w:tcW w:type="dxa" w:w="253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None; a correctness fix in a script</w:t>
            </w:r>
          </w:p>
        </w:tc>
      </w:tr>
      <w:tr>
        <w:trPr>
          <w:cantSplit/>
          <w:tblHeader w:val="off"/>
        </w:trPr>
        <w:tc>
          <w:tcPr>
            <w:tcW w:type="dxa" w:w="47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F5</w:t>
            </w:r>
          </w:p>
        </w:tc>
        <w:tc>
          <w:tcPr>
            <w:tcW w:type="dxa" w:w="349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README still says "no CORS configuration is needed", which contradicts the current config</w:t>
            </w:r>
          </w:p>
        </w:tc>
        <w:tc>
          <w:tcPr>
            <w:tcW w:type="dxa" w:w="323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Update once F1 lands</w:t>
            </w:r>
          </w:p>
        </w:tc>
        <w:tc>
          <w:tcPr>
            <w:tcW w:type="dxa" w:w="253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47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F6</w:t>
            </w:r>
          </w:p>
        </w:tc>
        <w:tc>
          <w:tcPr>
            <w:tcW w:type="dxa" w:w="349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Outbox relays are not safe to scale out.</w:t>
            </w:r>
            <w:r>
              <w:rPr>
                <w:sz w:val="18"/>
                <w:szCs w:val="18"/>
              </w:rPr>
              <w:t xml:space="preserve"> Each relay polls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findByPublishedAtIsNull()</w:t>
            </w:r>
            <w:r>
              <w:rPr>
                <w:sz w:val="18"/>
                <w:szCs w:val="18"/>
              </w:rPr>
              <w:t xml:space="preserve"> every 2 s with no row lock, so two replicas of payment, enrollment or certificate service would both publish the same rows</w:t>
            </w:r>
          </w:p>
        </w:tc>
        <w:tc>
          <w:tcPr>
            <w:tcW w:type="dxa" w:w="323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Claim rows with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SELECT … FOR UPDATE SKIP LOCKED</w:t>
            </w:r>
            <w:r>
              <w:rPr>
                <w:sz w:val="18"/>
                <w:szCs w:val="18"/>
              </w:rPr>
              <w:t xml:space="preserve"> in a short transaction (or run one active relay through leader election), and test with two instances</w:t>
            </w:r>
          </w:p>
        </w:tc>
        <w:tc>
          <w:tcPr>
            <w:tcW w:type="dxa" w:w="253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Consumers already de-duplicate on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eventId</w:t>
            </w:r>
            <w:r>
              <w:rPr>
                <w:sz w:val="18"/>
                <w:szCs w:val="18"/>
              </w:rPr>
              <w:t xml:space="preserve">, so the effect stays correct today; the fix removes duplicate traffic and makes scale-out safe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6" w:id="26"/>
      <w:r>
        <w:t xml:space="preserve">4.3 Upgrade or replace for production</w:t>
      </w:r>
      <w:bookmarkEnd w:id="26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4"/>
        <w:gridCol w:w="2431"/>
        <w:gridCol w:w="3044"/>
        <w:gridCol w:w="2697"/>
      </w:tblGrid>
      <w:tr>
        <w:trPr>
          <w:cantSplit/>
          <w:tblHeader/>
        </w:trPr>
        <w:tc>
          <w:tcPr>
            <w:tcW w:type="dxa" w:w="15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4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30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69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Trade-off / note</w:t>
            </w:r>
          </w:p>
        </w:tc>
      </w:tr>
      <w:tr>
        <w:trPr>
          <w:cantSplit/>
          <w:tblHeader w:val="off"/>
        </w:trPr>
        <w:tc>
          <w:tcPr>
            <w:tcW w:type="dxa" w:w="15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Framework line</w:t>
            </w:r>
          </w:p>
        </w:tc>
        <w:tc>
          <w:tcPr>
            <w:tcW w:type="dxa" w:w="24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Spring Boot 3.5.15 / Spring Cloud 2025.0.3: the </w:t>
            </w:r>
            <w:r>
              <w:rPr>
                <w:b/>
                <w:bCs/>
                <w:sz w:val="18"/>
                <w:szCs w:val="18"/>
              </w:rPr>
              <w:t xml:space="preserve">final OSS releases</w:t>
            </w:r>
            <w:r>
              <w:rPr>
                <w:sz w:val="18"/>
                <w:szCs w:val="18"/>
              </w:rPr>
              <w:t xml:space="preserve"> of their lines (accepted risk in the constitution)</w:t>
            </w:r>
          </w:p>
        </w:tc>
        <w:tc>
          <w:tcPr>
            <w:tcW w:type="dxa" w:w="30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Plan the move to </w:t>
            </w:r>
            <w:r>
              <w:rPr>
                <w:b/>
                <w:bCs/>
                <w:sz w:val="18"/>
                <w:szCs w:val="18"/>
              </w:rPr>
              <w:t xml:space="preserve">Spring Boot 4 + Spring Cloud 2025.1.x</w:t>
            </w:r>
            <w:r>
              <w:rPr>
                <w:sz w:val="18"/>
                <w:szCs w:val="18"/>
              </w:rPr>
              <w:t xml:space="preserve"> as its own spec, before production</w:t>
            </w:r>
          </w:p>
        </w:tc>
        <w:tc>
          <w:tcPr>
            <w:tcW w:type="dxa" w:w="269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Migration effort (Jakarta and API changes, Gateway module renames). Staying means no OSS security patches</w:t>
            </w:r>
          </w:p>
        </w:tc>
      </w:tr>
      <w:tr>
        <w:trPr>
          <w:cantSplit/>
          <w:tblHeader w:val="off"/>
        </w:trPr>
        <w:tc>
          <w:tcPr>
            <w:tcW w:type="dxa" w:w="15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Token signing</w:t>
            </w:r>
          </w:p>
        </w:tc>
        <w:tc>
          <w:tcPr>
            <w:tcW w:type="dxa" w:w="24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HS256 with one shared secret held by </w:t>
            </w:r>
            <w:r>
              <w:rPr>
                <w:b/>
                <w:bCs/>
                <w:sz w:val="18"/>
                <w:szCs w:val="18"/>
              </w:rPr>
              <w:t xml:space="preserve">both</w:t>
            </w:r>
            <w:r>
              <w:rPr>
                <w:sz w:val="18"/>
                <w:szCs w:val="18"/>
              </w:rPr>
              <w:t xml:space="preserve"> auth-service and the gateway</w:t>
            </w:r>
          </w:p>
        </w:tc>
        <w:tc>
          <w:tcPr>
            <w:tcW w:type="dxa" w:w="30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RS256/ES256 with a JWKS endpoint</w:t>
            </w:r>
            <w:r>
              <w:rPr>
                <w:sz w:val="18"/>
                <w:szCs w:val="18"/>
              </w:rPr>
              <w:t xml:space="preserve"> on auth-service; the gateway verifies with the public key; rotate keys by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kid</w:t>
            </w:r>
          </w:p>
        </w:tc>
        <w:tc>
          <w:tcPr>
            <w:tcW w:type="dxa" w:w="269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leaked gateway can no longer mint tokens; slightly more key management</w:t>
            </w:r>
          </w:p>
        </w:tc>
      </w:tr>
      <w:tr>
        <w:trPr>
          <w:cantSplit/>
          <w:tblHeader w:val="off"/>
        </w:trPr>
        <w:tc>
          <w:tcPr>
            <w:tcW w:type="dxa" w:w="15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Gateway rate limiting</w:t>
            </w:r>
          </w:p>
        </w:tc>
        <w:tc>
          <w:tcPr>
            <w:tcW w:type="dxa" w:w="24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In-memory token bucket per instance</w:t>
            </w:r>
          </w:p>
        </w:tc>
        <w:tc>
          <w:tcPr>
            <w:tcW w:type="dxa" w:w="30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Move bucket state to </w:t>
            </w:r>
            <w:r>
              <w:rPr>
                <w:b/>
                <w:bCs/>
                <w:sz w:val="18"/>
                <w:szCs w:val="18"/>
              </w:rPr>
              <w:t xml:space="preserve">Redis</w:t>
            </w:r>
            <w:r>
              <w:rPr>
                <w:sz w:val="18"/>
                <w:szCs w:val="18"/>
              </w:rPr>
              <w:t xml:space="preserve"> (Spring Cloud Gateway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RedisRateLimiter</w:t>
            </w:r>
            <w:r>
              <w:rPr>
                <w:sz w:val="18"/>
                <w:szCs w:val="18"/>
              </w:rPr>
              <w:t xml:space="preserve">, or Bucket4j on Redis) once more than one gateway replica runs</w:t>
            </w:r>
          </w:p>
        </w:tc>
        <w:tc>
          <w:tcPr>
            <w:tcW w:type="dxa" w:w="269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Adds Redis (constitution amendment). Without it, N replicas allow N× the intended limit</w:t>
            </w:r>
          </w:p>
        </w:tc>
      </w:tr>
      <w:tr>
        <w:trPr>
          <w:cantSplit/>
          <w:tblHeader w:val="off"/>
        </w:trPr>
        <w:tc>
          <w:tcPr>
            <w:tcW w:type="dxa" w:w="15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Configuration source</w:t>
            </w:r>
          </w:p>
        </w:tc>
        <w:tc>
          <w:tcPr>
            <w:tcW w:type="dxa" w:w="24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 server reads the working tree</w:t>
            </w:r>
          </w:p>
        </w:tc>
        <w:tc>
          <w:tcPr>
            <w:tcW w:type="dxa" w:w="30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Git-backed</w:t>
            </w:r>
            <w:r>
              <w:rPr>
                <w:sz w:val="18"/>
                <w:szCs w:val="18"/>
              </w:rPr>
              <w:t xml:space="preserve"> config repo (versioned, reviewed, auditable), plus a secrets manager (Vault / AWS Secrets Manager / Azure Key Vault) for credentials</w:t>
            </w:r>
          </w:p>
        </w:tc>
        <w:tc>
          <w:tcPr>
            <w:tcW w:type="dxa" w:w="269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Hot reload still works; changes become traceable and reversible</w:t>
            </w:r>
          </w:p>
        </w:tc>
      </w:tr>
      <w:tr>
        <w:trPr>
          <w:cantSplit/>
          <w:tblHeader w:val="off"/>
        </w:trPr>
        <w:tc>
          <w:tcPr>
            <w:tcW w:type="dxa" w:w="15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Service discovery</w:t>
            </w:r>
          </w:p>
        </w:tc>
        <w:tc>
          <w:tcPr>
            <w:tcW w:type="dxa" w:w="24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Eureka, single node</w:t>
            </w:r>
          </w:p>
        </w:tc>
        <w:tc>
          <w:tcPr>
            <w:tcW w:type="dxa" w:w="30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 Kubernetes: </w:t>
            </w:r>
            <w:r>
              <w:rPr>
                <w:b/>
                <w:bCs/>
                <w:sz w:val="18"/>
                <w:szCs w:val="18"/>
              </w:rPr>
              <w:t xml:space="preserve">replace Eureka with Kubernetes Services/DNS</w:t>
            </w:r>
            <w:r>
              <w:rPr>
                <w:sz w:val="18"/>
                <w:szCs w:val="18"/>
              </w:rPr>
              <w:t xml:space="preserve"> (Spring Cloud Kubernetes or plain DNS) and drop the registry warm-up 503 window. Outside Kubernetes: run Eureka as a 2–3 node peer cluster</w:t>
            </w:r>
          </w:p>
        </w:tc>
        <w:tc>
          <w:tcPr>
            <w:tcW w:type="dxa" w:w="269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Removing Eureka changes Principle III and needs an amendment; it removes one stateful component and the 30 s registration delay</w:t>
            </w:r>
          </w:p>
        </w:tc>
      </w:tr>
      <w:tr>
        <w:trPr>
          <w:cantSplit/>
          <w:tblHeader w:val="off"/>
        </w:trPr>
        <w:tc>
          <w:tcPr>
            <w:tcW w:type="dxa" w:w="15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Database topology</w:t>
            </w:r>
          </w:p>
        </w:tc>
        <w:tc>
          <w:tcPr>
            <w:tcW w:type="dxa" w:w="24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One PostgreSQL instance, many databases</w:t>
            </w:r>
          </w:p>
        </w:tc>
        <w:tc>
          <w:tcPr>
            <w:tcW w:type="dxa" w:w="30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Managed PostgreSQL</w:t>
            </w:r>
            <w:r>
              <w:rPr>
                <w:sz w:val="18"/>
                <w:szCs w:val="18"/>
              </w:rPr>
              <w:t xml:space="preserve"> (RDS/Aurora, Cloud SQL, Azure Flexible Server) with HA and point-in-time recovery. Start as one cluster with per-service databases; split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payment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enrollment</w:t>
            </w:r>
            <w:r>
              <w:rPr>
                <w:sz w:val="18"/>
                <w:szCs w:val="18"/>
              </w:rPr>
              <w:t xml:space="preserve"> onto their own clusters when load or blast radius justifies it</w:t>
            </w:r>
          </w:p>
        </w:tc>
        <w:tc>
          <w:tcPr>
            <w:tcW w:type="dxa" w:w="269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Logical isolation already exists, so splitting later is an operations change, not a code change</w:t>
            </w:r>
          </w:p>
        </w:tc>
      </w:tr>
      <w:tr>
        <w:trPr>
          <w:cantSplit/>
          <w:tblHeader w:val="off"/>
        </w:trPr>
        <w:tc>
          <w:tcPr>
            <w:tcW w:type="dxa" w:w="15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Broker</w:t>
            </w:r>
          </w:p>
        </w:tc>
        <w:tc>
          <w:tcPr>
            <w:tcW w:type="dxa" w:w="24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Single RabbitMQ node</w:t>
            </w:r>
          </w:p>
        </w:tc>
        <w:tc>
          <w:tcPr>
            <w:tcW w:type="dxa" w:w="30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3-node cluster with quorum queues</w:t>
            </w:r>
            <w:r>
              <w:rPr>
                <w:sz w:val="18"/>
                <w:szCs w:val="18"/>
              </w:rPr>
              <w:t xml:space="preserve"> (or a managed broker such as Amazon MQ / CloudAMQP)</w:t>
            </w:r>
          </w:p>
        </w:tc>
        <w:tc>
          <w:tcPr>
            <w:tcW w:type="dxa" w:w="269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Quorum queues cost some throughput but survive node loss without losing messages</w:t>
            </w:r>
          </w:p>
        </w:tc>
      </w:tr>
      <w:tr>
        <w:trPr>
          <w:cantSplit/>
          <w:tblHeader w:val="off"/>
        </w:trPr>
        <w:tc>
          <w:tcPr>
            <w:tcW w:type="dxa" w:w="15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Payments</w:t>
            </w:r>
          </w:p>
        </w:tc>
        <w:tc>
          <w:tcPr>
            <w:tcW w:type="dxa" w:w="24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Simulated provider</w:t>
            </w:r>
          </w:p>
        </w:tc>
        <w:tc>
          <w:tcPr>
            <w:tcW w:type="dxa" w:w="30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Real PSP adapter</w:t>
            </w:r>
            <w:r>
              <w:rPr>
                <w:sz w:val="18"/>
                <w:szCs w:val="18"/>
              </w:rPr>
              <w:t xml:space="preserve"> behind the existing provider interface; PSP </w:t>
            </w:r>
            <w:r>
              <w:rPr>
                <w:b/>
                <w:bCs/>
                <w:sz w:val="18"/>
                <w:szCs w:val="18"/>
              </w:rPr>
              <w:t xml:space="preserve">webhooks</w:t>
            </w:r>
            <w:r>
              <w:rPr>
                <w:sz w:val="18"/>
                <w:szCs w:val="18"/>
              </w:rPr>
              <w:t xml:space="preserve"> (signature-verified, idempotent on the PSP event ID) as the source of truth for asynchronous outcomes; reconciliation job</w:t>
            </w:r>
          </w:p>
        </w:tc>
        <w:tc>
          <w:tcPr>
            <w:tcW w:type="dxa" w:w="269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PCI scope stays minimal with hosted card fields; the outbox and idempotency already fit webhook delivery</w:t>
            </w:r>
          </w:p>
        </w:tc>
      </w:tr>
      <w:tr>
        <w:trPr>
          <w:cantSplit/>
          <w:tblHeader w:val="off"/>
        </w:trPr>
        <w:tc>
          <w:tcPr>
            <w:tcW w:type="dxa" w:w="15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24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Mailpit</w:t>
            </w:r>
          </w:p>
        </w:tc>
        <w:tc>
          <w:tcPr>
            <w:tcW w:type="dxa" w:w="30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Transactional email provider via SMTP or API, with bounce/complaint handling</w:t>
            </w:r>
          </w:p>
        </w:tc>
        <w:tc>
          <w:tcPr>
            <w:tcW w:type="dxa" w:w="269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Per-message cost; needs verified sender domains (SPF/DKIM/DMARC)</w:t>
            </w:r>
          </w:p>
        </w:tc>
      </w:tr>
      <w:tr>
        <w:trPr>
          <w:cantSplit/>
          <w:tblHeader w:val="off"/>
        </w:trPr>
        <w:tc>
          <w:tcPr>
            <w:tcW w:type="dxa" w:w="15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4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Structured ECS JSON logs with correlation IDs; Actuator health</w:t>
            </w:r>
          </w:p>
        </w:tc>
        <w:tc>
          <w:tcPr>
            <w:tcW w:type="dxa" w:w="30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 </w:t>
            </w:r>
            <w:r>
              <w:rPr>
                <w:b/>
                <w:bCs/>
                <w:sz w:val="18"/>
                <w:szCs w:val="18"/>
              </w:rPr>
              <w:t xml:space="preserve">OpenTelemetry tracing</w:t>
            </w:r>
            <w:r>
              <w:rPr>
                <w:sz w:val="18"/>
                <w:szCs w:val="18"/>
              </w:rPr>
              <w:t xml:space="preserve"> (Micrometer Tracing → OTLP), </w:t>
            </w:r>
            <w:r>
              <w:rPr>
                <w:b/>
                <w:bCs/>
                <w:sz w:val="18"/>
                <w:szCs w:val="18"/>
              </w:rPr>
              <w:t xml:space="preserve">Prometheus metrics + Grafana</w:t>
            </w:r>
            <w:r>
              <w:rPr>
                <w:sz w:val="18"/>
                <w:szCs w:val="18"/>
              </w:rPr>
              <w:t xml:space="preserve">, and central log aggregation (Loki / ELK / CloudWatch). Carry trace context through the event envelope</w:t>
            </w:r>
          </w:p>
        </w:tc>
        <w:tc>
          <w:tcPr>
            <w:tcW w:type="dxa" w:w="269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Amendment needed; this is the biggest gap in operating an event-driven system</w:t>
            </w:r>
          </w:p>
        </w:tc>
      </w:tr>
      <w:tr>
        <w:trPr>
          <w:cantSplit/>
          <w:tblHeader w:val="off"/>
        </w:trPr>
        <w:tc>
          <w:tcPr>
            <w:tcW w:type="dxa" w:w="15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Frontend delivery</w:t>
            </w:r>
          </w:p>
        </w:tc>
        <w:tc>
          <w:tcPr>
            <w:tcW w:type="dxa" w:w="24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nginx container</w:t>
            </w:r>
          </w:p>
        </w:tc>
        <w:tc>
          <w:tcPr>
            <w:tcW w:type="dxa" w:w="30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Static assets on </w:t>
            </w:r>
            <w:r>
              <w:rPr>
                <w:b/>
                <w:bCs/>
                <w:sz w:val="18"/>
                <w:szCs w:val="18"/>
              </w:rPr>
              <w:t xml:space="preserve">object storage + CDN</w:t>
            </w:r>
            <w:r>
              <w:rPr>
                <w:sz w:val="18"/>
                <w:szCs w:val="18"/>
              </w:rPr>
              <w:t xml:space="preserve">, keeping the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/api/</w:t>
            </w:r>
            <w:r>
              <w:rPr>
                <w:sz w:val="18"/>
                <w:szCs w:val="18"/>
              </w:rPr>
              <w:t xml:space="preserve"> same-origin path through the CDN to the gateway (or keep nginx behind the CDN)</w:t>
            </w:r>
          </w:p>
        </w:tc>
        <w:tc>
          <w:tcPr>
            <w:tcW w:type="dxa" w:w="269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Global latency improves; same-origin and CSP still hold</w:t>
            </w:r>
          </w:p>
        </w:tc>
      </w:tr>
      <w:tr>
        <w:trPr>
          <w:cantSplit/>
          <w:tblHeader w:val="off"/>
        </w:trPr>
        <w:tc>
          <w:tcPr>
            <w:tcW w:type="dxa" w:w="157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Edge security</w:t>
            </w:r>
          </w:p>
        </w:tc>
        <w:tc>
          <w:tcPr>
            <w:tcW w:type="dxa" w:w="24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 in front of the gateway</w:t>
            </w:r>
          </w:p>
        </w:tc>
        <w:tc>
          <w:tcPr>
            <w:tcW w:type="dxa" w:w="30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Managed load balancer with TLS termination and a </w:t>
            </w:r>
            <w:r>
              <w:rPr>
                <w:b/>
                <w:bCs/>
                <w:sz w:val="18"/>
                <w:szCs w:val="18"/>
              </w:rPr>
              <w:t xml:space="preserve">WAF</w:t>
            </w:r>
            <w:r>
              <w:rPr>
                <w:sz w:val="18"/>
                <w:szCs w:val="18"/>
              </w:rPr>
              <w:t xml:space="preserve">; HSTS</w:t>
            </w:r>
          </w:p>
        </w:tc>
        <w:tc>
          <w:tcPr>
            <w:tcW w:type="dxa" w:w="269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Standard for production; TLS is a must-have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7" w:id="27"/>
      <w:r>
        <w:t xml:space="preserve">4.4 Add when the load demands it (not before)</w:t>
      </w:r>
      <w:bookmarkEnd w:id="27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18"/>
        <w:gridCol w:w="4528"/>
      </w:tblGrid>
      <w:tr>
        <w:trPr>
          <w:cantSplit/>
          <w:tblHeader/>
        </w:trPr>
        <w:tc>
          <w:tcPr>
            <w:tcW w:type="dxa" w:w="2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Addition</w:t>
            </w:r>
          </w:p>
        </w:tc>
        <w:tc>
          <w:tcPr>
            <w:tcW w:type="dxa" w:w="301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5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HTTP caching for the public catalog</w:t>
            </w:r>
          </w:p>
        </w:tc>
        <w:tc>
          <w:tcPr>
            <w:tcW w:type="dxa" w:w="301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Catalog reads dominate traffic</w:t>
            </w:r>
          </w:p>
        </w:tc>
        <w:tc>
          <w:tcPr>
            <w:tcW w:type="dxa" w:w="45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ETag</w:t>
            </w:r>
            <w:r>
              <w:rPr>
                <w:sz w:val="18"/>
                <w:szCs w:val="18"/>
              </w:rPr>
              <w:t xml:space="preserve">s already exist. Add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Cache-Control</w:t>
            </w:r>
            <w:r>
              <w:rPr>
                <w:sz w:val="18"/>
                <w:szCs w:val="18"/>
              </w:rPr>
              <w:t xml:space="preserve"> on public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GET /courses*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/categories</w:t>
            </w:r>
            <w:r>
              <w:rPr>
                <w:sz w:val="18"/>
                <w:szCs w:val="18"/>
              </w:rPr>
              <w:t xml:space="preserve">, then CDN caching for anonymous traffic. This is the cheapest scale lever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Read replica for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course_db</w:t>
            </w:r>
          </w:p>
        </w:tc>
        <w:tc>
          <w:tcPr>
            <w:tcW w:type="dxa" w:w="301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Catalog query latency rises under load</w:t>
            </w:r>
          </w:p>
        </w:tc>
        <w:tc>
          <w:tcPr>
            <w:tcW w:type="dxa" w:w="45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Route public list/detail reads to a replica; writes stay on the primary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Search engine (OpenSearch)</w:t>
            </w:r>
          </w:p>
        </w:tc>
        <w:tc>
          <w:tcPr>
            <w:tcW w:type="dxa" w:w="301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Full-text search or relevance ranking beyond simple filters</w:t>
            </w:r>
          </w:p>
        </w:tc>
        <w:tc>
          <w:tcPr>
            <w:tcW w:type="dxa" w:w="45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Fed from catalog events; would need a new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course.published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course.updated</w:t>
            </w:r>
            <w:r>
              <w:rPr>
                <w:sz w:val="18"/>
                <w:szCs w:val="18"/>
              </w:rPr>
              <w:t xml:space="preserve"> event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Separate worker deployments</w:t>
            </w:r>
          </w:p>
        </w:tc>
        <w:tc>
          <w:tcPr>
            <w:tcW w:type="dxa" w:w="301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Consumers need to scale independently of API traffic</w:t>
            </w:r>
          </w:p>
        </w:tc>
        <w:tc>
          <w:tcPr>
            <w:tcW w:type="dxa" w:w="45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Same codebase, a different Spring profile or entry point; no new service boundaries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Event-driven projections instead of Feign lookups</w:t>
            </w:r>
          </w:p>
        </w:tc>
        <w:tc>
          <w:tcPr>
            <w:tcW w:type="dxa" w:w="301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Feign fan-out to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course-service</w:t>
            </w:r>
            <w:r>
              <w:rPr>
                <w:sz w:val="18"/>
                <w:szCs w:val="18"/>
              </w:rPr>
              <w:t xml:space="preserve"> becomes a hotspot or a single point of failure</w:t>
            </w:r>
          </w:p>
        </w:tc>
        <w:tc>
          <w:tcPr>
            <w:tcW w:type="dxa" w:w="45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Consumers keep a local read model of course title and lesson set, fed by catalog events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8" w:id="28"/>
      <w:r>
        <w:t xml:space="preserve">4.5 Options considered and rejected</w:t>
      </w:r>
      <w:bookmarkEnd w:id="28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1"/>
        <w:gridCol w:w="6905"/>
      </w:tblGrid>
      <w:tr>
        <w:trPr>
          <w:cantSplit/>
          <w:tblHeader/>
        </w:trPr>
        <w:tc>
          <w:tcPr>
            <w:tcW w:type="dxa" w:w="284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690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not</w:t>
            </w:r>
          </w:p>
        </w:tc>
      </w:tr>
      <w:tr>
        <w:trPr>
          <w:cantSplit/>
          <w:tblHeader w:val="off"/>
        </w:trPr>
        <w:tc>
          <w:tcPr>
            <w:tcW w:type="dxa" w:w="284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Collapse into a modular monolith</w:t>
            </w:r>
          </w:p>
        </w:tc>
        <w:tc>
          <w:tcPr>
            <w:tcW w:type="dxa" w:w="690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Boundaries and contracts are already clean and tested. A monolith would simplify operations but lose independent deployment and failure isolation. Revisit only if team size stays at 1–2 engineers for a long time</w:t>
            </w:r>
          </w:p>
        </w:tc>
      </w:tr>
      <w:tr>
        <w:trPr>
          <w:cantSplit/>
          <w:tblHeader w:val="off"/>
        </w:trPr>
        <w:tc>
          <w:tcPr>
            <w:tcW w:type="dxa" w:w="284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Serverless functions for consumers</w:t>
            </w:r>
          </w:p>
        </w:tc>
        <w:tc>
          <w:tcPr>
            <w:tcW w:type="dxa" w:w="690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Cold starts and the JVM footprint fit poorly; the outbox relay needs a long-running process</w:t>
            </w:r>
          </w:p>
        </w:tc>
      </w:tr>
      <w:tr>
        <w:trPr>
          <w:cantSplit/>
          <w:tblHeader w:val="off"/>
        </w:trPr>
        <w:tc>
          <w:tcPr>
            <w:tcW w:type="dxa" w:w="284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Kafka instead of RabbitMQ</w:t>
            </w:r>
          </w:p>
        </w:tc>
        <w:tc>
          <w:tcPr>
            <w:tcW w:type="dxa" w:w="690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Event volume does not need log retention or partitioned throughput; RabbitMQ's per-consumer DLQ model fits better</w:t>
            </w:r>
          </w:p>
        </w:tc>
      </w:tr>
      <w:tr>
        <w:trPr>
          <w:cantSplit/>
          <w:tblHeader w:val="off"/>
        </w:trPr>
        <w:tc>
          <w:tcPr>
            <w:tcW w:type="dxa" w:w="284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central saga orchestrator</w:t>
            </w:r>
          </w:p>
        </w:tc>
        <w:tc>
          <w:tcPr>
            <w:tcW w:type="dxa" w:w="690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Each flow is a short, linear chain with idempotent steps; choreography is simpler and there are no compensations to coordinate yet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29" w:id="29"/>
      <w:r>
        <w:t xml:space="preserve">5. Scalability and migration path</w:t>
      </w:r>
      <w:bookmarkEnd w:id="29"/>
    </w:p>
    <w:p>
      <w:pPr>
        <w:pStyle w:val="Heading2"/>
      </w:pPr>
      <w:bookmarkStart w:name="_Toc30" w:id="30"/>
      <w:r>
        <w:t xml:space="preserve">5.1 Scaling characteristics today</w:t>
      </w:r>
      <w:bookmarkEnd w:id="30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1863"/>
        <w:gridCol w:w="2626"/>
        <w:gridCol w:w="2931"/>
      </w:tblGrid>
      <w:tr>
        <w:trPr>
          <w:cantSplit/>
          <w:tblHeader/>
        </w:trPr>
        <w:tc>
          <w:tcPr>
            <w:tcW w:type="dxa" w:w="23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6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Stateless?</w:t>
            </w:r>
          </w:p>
        </w:tc>
        <w:tc>
          <w:tcPr>
            <w:tcW w:type="dxa" w:w="26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Horizontal scaling</w:t>
            </w:r>
          </w:p>
        </w:tc>
        <w:tc>
          <w:tcPr>
            <w:tcW w:type="dxa" w:w="29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Known constraint</w:t>
            </w:r>
          </w:p>
        </w:tc>
      </w:tr>
      <w:tr>
        <w:trPr>
          <w:cantSplit/>
          <w:tblHeader w:val="off"/>
        </w:trPr>
        <w:tc>
          <w:tcPr>
            <w:tcW w:type="dxa" w:w="23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frontend (nginx)</w:t>
            </w:r>
          </w:p>
        </w:tc>
        <w:tc>
          <w:tcPr>
            <w:tcW w:type="dxa" w:w="186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6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Unlimited; move behind a CDN</w:t>
            </w:r>
          </w:p>
        </w:tc>
        <w:tc>
          <w:tcPr>
            <w:tcW w:type="dxa" w:w="29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23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api-gateway</w:t>
            </w:r>
          </w:p>
        </w:tc>
        <w:tc>
          <w:tcPr>
            <w:tcW w:type="dxa" w:w="186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Almost (rate-limit buckets are in memory)</w:t>
            </w:r>
          </w:p>
        </w:tc>
        <w:tc>
          <w:tcPr>
            <w:tcW w:type="dxa" w:w="26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Yes, after Redis-backed limits</w:t>
            </w:r>
          </w:p>
        </w:tc>
        <w:tc>
          <w:tcPr>
            <w:tcW w:type="dxa" w:w="29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Per-instance rate limits</w:t>
            </w:r>
          </w:p>
        </w:tc>
      </w:tr>
      <w:tr>
        <w:trPr>
          <w:cantSplit/>
          <w:tblHeader w:val="off"/>
        </w:trPr>
        <w:tc>
          <w:tcPr>
            <w:tcW w:type="dxa" w:w="23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auth, course, payment, enrollment, certificate, notification</w:t>
            </w:r>
          </w:p>
        </w:tc>
        <w:tc>
          <w:tcPr>
            <w:tcW w:type="dxa" w:w="186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 (state is in PostgreSQL)</w:t>
            </w:r>
          </w:p>
        </w:tc>
        <w:tc>
          <w:tcPr>
            <w:tcW w:type="dxa" w:w="26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Yes; LoadBalancer spreads calls; queues are competing consumers</w:t>
            </w:r>
          </w:p>
        </w:tc>
        <w:tc>
          <w:tcPr>
            <w:tcW w:type="dxa" w:w="29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Outbox relays take no row lock (F6), so publishers duplicate events when scaled out until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SKIP LOCKED</w:t>
            </w:r>
            <w:r>
              <w:rPr>
                <w:sz w:val="18"/>
                <w:szCs w:val="18"/>
              </w:rPr>
              <w:t xml:space="preserve"> is added</w:t>
            </w:r>
          </w:p>
        </w:tc>
      </w:tr>
      <w:tr>
        <w:trPr>
          <w:cantSplit/>
          <w:tblHeader w:val="off"/>
        </w:trPr>
        <w:tc>
          <w:tcPr>
            <w:tcW w:type="dxa" w:w="23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186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Vertical first, then read replicas, then split clusters</w:t>
            </w:r>
          </w:p>
        </w:tc>
        <w:tc>
          <w:tcPr>
            <w:tcW w:type="dxa" w:w="29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Single instance today: a single point of failure</w:t>
            </w:r>
          </w:p>
        </w:tc>
      </w:tr>
      <w:tr>
        <w:trPr>
          <w:cantSplit/>
          <w:tblHeader w:val="off"/>
        </w:trPr>
        <w:tc>
          <w:tcPr>
            <w:tcW w:type="dxa" w:w="23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RabbitMQ</w:t>
            </w:r>
          </w:p>
        </w:tc>
        <w:tc>
          <w:tcPr>
            <w:tcW w:type="dxa" w:w="186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Clustered quorum queues</w:t>
            </w:r>
          </w:p>
        </w:tc>
        <w:tc>
          <w:tcPr>
            <w:tcW w:type="dxa" w:w="29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Single node today: a single point of failure</w:t>
            </w:r>
          </w:p>
        </w:tc>
      </w:tr>
      <w:tr>
        <w:trPr>
          <w:cantSplit/>
          <w:tblHeader w:val="off"/>
        </w:trPr>
        <w:tc>
          <w:tcPr>
            <w:tcW w:type="dxa" w:w="23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Eureka / config server</w:t>
            </w:r>
          </w:p>
        </w:tc>
        <w:tc>
          <w:tcPr>
            <w:tcW w:type="dxa" w:w="186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Small state</w:t>
            </w:r>
          </w:p>
        </w:tc>
        <w:tc>
          <w:tcPr>
            <w:tcW w:type="dxa" w:w="26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2–3 replicas, or replace with platform-native services</w:t>
            </w:r>
          </w:p>
        </w:tc>
        <w:tc>
          <w:tcPr>
            <w:tcW w:type="dxa" w:w="29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Single node today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The </w:t>
      </w:r>
      <w:r>
        <w:rPr>
          <w:b/>
          <w:bCs/>
        </w:rPr>
        <w:t xml:space="preserve">critical path for scale</w:t>
      </w:r>
      <w:r>
        <w:t xml:space="preserve"> is checkout →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payment.succeeded</w:t>
      </w:r>
      <w:r>
        <w:t xml:space="preserve"> → enrollment, plus the public catalog. The </w:t>
      </w:r>
      <w:r>
        <w:rPr>
          <w:b/>
          <w:bCs/>
        </w:rPr>
        <w:t xml:space="preserve">critical path for correctness</w:t>
      </w:r>
      <w:r>
        <w:t xml:space="preserve"> is the outbox and the idempotency stores. Every phase below protects the second while it improves the first.</w:t>
      </w:r>
    </w:p>
    <w:p>
      <w:pPr>
        <w:pStyle w:val="Heading2"/>
      </w:pPr>
      <w:bookmarkStart w:name="_Toc31" w:id="31"/>
      <w:r>
        <w:t xml:space="preserve">5.2 Phased plan</w:t>
      </w:r>
      <w:bookmarkEnd w:id="31"/>
    </w:p>
    <w:p>
      <w:pPr>
        <w:spacing w:after="140"/>
      </w:pPr>
      <w:r>
        <w:t xml:space="preserve">Each phase is shippable on its own, has exit criteria, and can be rolled back without touching the phases before it.</w:t>
      </w:r>
    </w:p>
    <w:p>
      <w:pPr>
        <w:pStyle w:val="Heading3"/>
      </w:pPr>
      <w:bookmarkStart w:name="_Toc32" w:id="32"/>
      <w:r>
        <w:t xml:space="preserve">Phase 0: Harden what exists (1–2 weeks)</w:t>
      </w:r>
      <w:bookmarkEnd w:id="32"/>
    </w:p>
    <w:p>
      <w:pPr>
        <w:pStyle w:val="ListParagraph"/>
        <w:numPr>
          <w:ilvl w:val="0"/>
          <w:numId w:val="4"/>
        </w:numPr>
        <w:spacing w:after="60"/>
      </w:pPr>
      <w:r>
        <w:t xml:space="preserve">Fix </w:t>
      </w:r>
      <w:r>
        <w:rPr>
          <w:b/>
          <w:bCs/>
        </w:rPr>
        <w:t xml:space="preserve">F1</w:t>
      </w:r>
      <w:r>
        <w:t xml:space="preserve"> (nginx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Host</w:t>
      </w:r>
      <w:r>
        <w:t xml:space="preserve"> header), remove the 9100 CORS origin, and add a smoke check that POSTs with an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Origin</w:t>
      </w:r>
      <w:r>
        <w:t xml:space="preserve"> header.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Fix </w:t>
      </w:r>
      <w:r>
        <w:rPr>
          <w:b/>
          <w:bCs/>
        </w:rPr>
        <w:t xml:space="preserve">F4</w:t>
      </w:r>
      <w:r>
        <w:t xml:space="preserve"> in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up.sh</w:t>
      </w:r>
      <w:r>
        <w:t xml:space="preserve"> (fail when expected services are missing) and add a script test for it.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CI builds and pushes versioned images to a container registry;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up.sh</w:t>
      </w:r>
      <w:r>
        <w:t xml:space="preserve"> pulls by default (</w:t>
      </w:r>
      <w:r>
        <w:rPr>
          <w:b/>
          <w:bCs/>
        </w:rPr>
        <w:t xml:space="preserve">F3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Fix </w:t>
      </w:r>
      <w:r>
        <w:rPr>
          <w:b/>
          <w:bCs/>
        </w:rPr>
        <w:t xml:space="preserve">F6</w:t>
      </w:r>
      <w:r>
        <w:t xml:space="preserve">: claim outbox rows with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FOR UPDATE SKIP LOCKED</w:t>
      </w:r>
      <w:r>
        <w:t xml:space="preserve">; add a test that runs two relay instances and asserts each event is published once.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Write the runbook: how to inspect and replay DLQs, read correlation IDs, and rotate secrets.</w:t>
      </w:r>
    </w:p>
    <w:p>
      <w:pPr>
        <w:spacing w:after="140"/>
      </w:pPr>
      <w:r>
        <w:rPr>
          <w:i/>
          <w:iCs/>
        </w:rPr>
        <w:t xml:space="preserve">Exit criteria</w:t>
      </w:r>
      <w:r>
        <w:t xml:space="preserve">: smoke tests green in CI on pulled images; the stack starts cleanly on a fresh machine with no local build.</w:t>
      </w:r>
    </w:p>
    <w:p>
      <w:pPr>
        <w:pStyle w:val="Heading3"/>
      </w:pPr>
      <w:bookmarkStart w:name="_Toc33" w:id="33"/>
      <w:r>
        <w:t xml:space="preserve">Phase 1: Production foundations (3–5 weeks, needs constitution amendments)</w:t>
      </w:r>
      <w:bookmarkEnd w:id="33"/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Amend the constitution</w:t>
      </w:r>
      <w:r>
        <w:t xml:space="preserve"> for: OpenTelemetry, Prometheus/Grafana, a secrets manager, Redis (needed in Phase 2) and the hosting platform.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Move JWT signing to </w:t>
      </w:r>
      <w:r>
        <w:rPr>
          <w:b/>
          <w:bCs/>
        </w:rPr>
        <w:t xml:space="preserve">RS256 + JWKS</w:t>
      </w:r>
      <w:r>
        <w:t xml:space="preserve">. Roll out in two steps: the gateway accepts both HS256 and RS256 during one access-token lifetime (15 min) plus a safety margin, then HS256 is removed.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Externalise secrets to a secrets manager; config repo becomes </w:t>
      </w:r>
      <w:r>
        <w:rPr>
          <w:b/>
          <w:bCs/>
        </w:rPr>
        <w:t xml:space="preserve">git-backed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Add distributed tracing through HTTP </w:t>
      </w:r>
      <w:r>
        <w:rPr>
          <w:b/>
          <w:bCs/>
        </w:rPr>
        <w:t xml:space="preserve">and</w:t>
      </w:r>
      <w:r>
        <w:t xml:space="preserve"> the event envelope (put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traceparent</w:t>
      </w:r>
      <w:r>
        <w:t xml:space="preserve"> beside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correlationId</w:t>
      </w:r>
      <w:r>
        <w:t xml:space="preserve">), plus metrics dashboards for queue depth, DLQ count, outbox lag, checkout latency and error rate.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Plan and run the </w:t>
      </w:r>
      <w:r>
        <w:rPr>
          <w:b/>
          <w:bCs/>
        </w:rPr>
        <w:t xml:space="preserve">Spring Boot 4 / Spring Cloud 2025.1</w:t>
      </w:r>
      <w:r>
        <w:t xml:space="preserve"> upgrade as its own spec, one service at a time behind the unchanged gateway contract.</w:t>
      </w:r>
    </w:p>
    <w:p>
      <w:pPr>
        <w:spacing w:after="140"/>
      </w:pPr>
      <w:r>
        <w:rPr>
          <w:i/>
          <w:iCs/>
        </w:rPr>
        <w:t xml:space="preserve">Exit criteria</w:t>
      </w:r>
      <w:r>
        <w:t xml:space="preserve">: one trace spans SPA → gateway → payment → RabbitMQ → enrollment → notification; no shared signing secret; the framework is on a supported line.</w:t>
      </w:r>
    </w:p>
    <w:p>
      <w:pPr>
        <w:pStyle w:val="Heading3"/>
      </w:pPr>
      <w:bookmarkStart w:name="_Toc34" w:id="34"/>
      <w:r>
        <w:t xml:space="preserve">Phase 2: First production deployment (3–4 weeks)</w:t>
      </w:r>
      <w:bookmarkEnd w:id="34"/>
    </w:p>
    <w:p>
      <w:pPr>
        <w:pStyle w:val="ListParagraph"/>
        <w:numPr>
          <w:ilvl w:val="0"/>
          <w:numId w:val="6"/>
        </w:numPr>
        <w:spacing w:after="60"/>
      </w:pPr>
      <w:r>
        <w:t xml:space="preserve">Choose a target: </w:t>
      </w:r>
      <w:r>
        <w:rPr>
          <w:b/>
          <w:bCs/>
        </w:rPr>
        <w:t xml:space="preserve">managed Kubernetes</w:t>
      </w:r>
      <w:r>
        <w:t xml:space="preserve"> (EKS/AKS/GKE) is recommended for 11 deployables. A container PaaS (ECS Fargate, Azure Container Apps) is the lighter alternative.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Provision </w:t>
      </w:r>
      <w:r>
        <w:rPr>
          <w:b/>
          <w:bCs/>
        </w:rPr>
        <w:t xml:space="preserve">managed PostgreSQL</w:t>
      </w:r>
      <w:r>
        <w:t xml:space="preserve"> (HA, PITR) and a </w:t>
      </w:r>
      <w:r>
        <w:rPr>
          <w:b/>
          <w:bCs/>
        </w:rPr>
        <w:t xml:space="preserve">clustered RabbitMQ</w:t>
      </w:r>
      <w:r>
        <w:t xml:space="preserve"> with quorum queues. Migrate each per-service database with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pg_dump</w:t>
      </w:r>
      <w:r>
        <w:t xml:space="preserve">/restore, or start fresh before launch.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Replace Eureka with platform-native discovery (amendment), or run Eureka with 3 peers if staying off Kubernetes.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Gateway: at least 2 replicas behind a managed load balancer with TLS and a WAF; </w:t>
      </w:r>
      <w:r>
        <w:rPr>
          <w:b/>
          <w:bCs/>
        </w:rPr>
        <w:t xml:space="preserve">Redis-backed rate limiting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Frontend: CDN-fronted, keeping the same-origin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/api/</w:t>
      </w:r>
      <w:r>
        <w:t xml:space="preserve"> path; HSTS on.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Readiness probes gate traffic; set rolling deploys with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maxUnavailable: 0</w:t>
      </w:r>
      <w:r>
        <w:t xml:space="preserve"> for the gateway and payment-service.</w:t>
      </w:r>
    </w:p>
    <w:p>
      <w:pPr>
        <w:spacing w:after="140"/>
      </w:pPr>
      <w:r>
        <w:rPr>
          <w:i/>
          <w:iCs/>
        </w:rPr>
        <w:t xml:space="preserve">Rollback</w:t>
      </w:r>
      <w:r>
        <w:t xml:space="preserve">: the Compose stack stays runnable and remains the reference environment until production has been stable for one release cycle.</w:t>
      </w:r>
    </w:p>
    <w:p>
      <w:pPr>
        <w:spacing w:after="140"/>
      </w:pPr>
      <w:r>
        <w:rPr>
          <w:i/>
          <w:iCs/>
        </w:rPr>
        <w:t xml:space="preserve">Exit criteria</w:t>
      </w:r>
      <w:r>
        <w:t xml:space="preserve">: zero-downtime rolling deploy shown for every service; losing one broker node or one database failover loses no messages and no payments (chaos test).</w:t>
      </w:r>
    </w:p>
    <w:p>
      <w:pPr>
        <w:pStyle w:val="Heading3"/>
      </w:pPr>
      <w:bookmarkStart w:name="_Toc35" w:id="35"/>
      <w:r>
        <w:t xml:space="preserve">Phase 3: Real-world integrations (2–4 weeks, in parallel with Phase 2 once it is staged)</w:t>
      </w:r>
      <w:bookmarkEnd w:id="35"/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PSP adapter</w:t>
      </w:r>
      <w:r>
        <w:t xml:space="preserve"> behind the existing provider interface; hosted payment fields (keeps PCI scope at SAQ-A); signature-verified webhooks, idempotent on the PSP event ID; a nightly reconciliation job between PSP and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payment_db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Keep the simulated provider as the </w:t>
      </w:r>
      <w:r>
        <w:rPr>
          <w:b/>
          <w:bCs/>
        </w:rPr>
        <w:t xml:space="preserve">default in non-production</w:t>
      </w:r>
      <w:r>
        <w:t xml:space="preserve"> profiles so the test cards in the manual test guide still work.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Transactional email provider with SPF/DKIM/DMARC and bounce handling; Mailpit stays for local and CI.</w:t>
      </w:r>
    </w:p>
    <w:p>
      <w:pPr>
        <w:spacing w:after="140"/>
      </w:pPr>
      <w:r>
        <w:rPr>
          <w:i/>
          <w:iCs/>
        </w:rPr>
        <w:t xml:space="preserve">Exit criteria</w:t>
      </w:r>
      <w:r>
        <w:t xml:space="preserve">: real test-mode payments create enrollments end to end; webhook replays cause no duplicates; reconciliation reports zero drift.</w:t>
      </w:r>
    </w:p>
    <w:p>
      <w:pPr>
        <w:pStyle w:val="Heading3"/>
      </w:pPr>
      <w:bookmarkStart w:name="_Toc36" w:id="36"/>
      <w:r>
        <w:t xml:space="preserve">Phase 4: Scale the hot paths (driven by metrics, not the calendar)</w:t>
      </w:r>
      <w:bookmarkEnd w:id="36"/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Catalog</w:t>
      </w:r>
      <w:r>
        <w:t xml:space="preserve">: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Cache-Control</w:t>
      </w:r>
      <w:r>
        <w:t xml:space="preserve"> plus CDN caching for anonymous catalog reads; then a read replica for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course_db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Checkout</w:t>
      </w:r>
      <w:r>
        <w:t xml:space="preserve">: scale payment-service and enrollment-service consumers on queue depth (KEDA on Kubernetes); alert on outbox lag.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Lower Feign fan-out</w:t>
      </w:r>
      <w:r>
        <w:t xml:space="preserve">: replace hot synchronous lookups (course title, lesson set) with local read models fed by new catalog events (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course.published</w:t>
      </w:r>
      <w:r>
        <w:t xml:space="preserve">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course.updated</w:t>
      </w:r>
      <w:r>
        <w:t xml:space="preserve">). This needs a spec, because those events are new contracts.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Data</w:t>
      </w:r>
      <w:r>
        <w:t xml:space="preserve">: split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payment_db</w:t>
      </w:r>
      <w:r>
        <w:t xml:space="preserve"> and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enrollment_db</w:t>
      </w:r>
      <w:r>
        <w:t xml:space="preserve"> onto their own clusters if contention or blast radius requires it. Code does not change; only connection settings do.</w:t>
      </w:r>
    </w:p>
    <w:p>
      <w:pPr>
        <w:spacing w:after="140"/>
      </w:pPr>
      <w:r>
        <w:rPr>
          <w:i/>
          <w:iCs/>
        </w:rPr>
        <w:t xml:space="preserve">Exit criteria</w:t>
      </w:r>
      <w:r>
        <w:t xml:space="preserve"> (proposed targets, to be confirmed with the business): p95 catalog list &lt; 200 ms at peak; p95 checkout-to-enrollment &lt; 10 s (already a spec goal); zero lost or duplicated payments.</w:t>
      </w:r>
    </w:p>
    <w:p>
      <w:pPr>
        <w:pStyle w:val="Heading3"/>
      </w:pPr>
      <w:bookmarkStart w:name="_Toc37" w:id="37"/>
      <w:r>
        <w:t xml:space="preserve">Phase 5: Product expansion</w:t>
      </w:r>
      <w:bookmarkEnd w:id="37"/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onsolas" w:cs="Consolas" w:eastAsia="Consolas" w:hAnsi="Consolas"/>
          <w:color w:val="8A2B2B"/>
          <w:sz w:val="19"/>
          <w:szCs w:val="19"/>
        </w:rPr>
        <w:t xml:space="preserve">review-service</w:t>
      </w:r>
      <w:r>
        <w:t xml:space="preserve"> (port 9006,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review_db</w:t>
      </w:r>
      <w:r>
        <w:t xml:space="preserve"> already reserved) as its own spec, consuming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course.completed</w:t>
      </w:r>
      <w:r>
        <w:t xml:space="preserve"> so only finishers can review.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Instructor and administrator web apps as separate specs and separate frontends (constitution: not folded into the student app).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Optional search service fed by catalog events, if filtering is no longer enough.</w:t>
      </w:r>
    </w:p>
    <w:p>
      <w:pPr>
        <w:pStyle w:val="Heading2"/>
      </w:pPr>
      <w:bookmarkStart w:name="_Toc38" w:id="38"/>
      <w:r>
        <w:t xml:space="preserve">5.3 Risk register</w:t>
      </w:r>
      <w:bookmarkEnd w:id="38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1"/>
        <w:gridCol w:w="1450"/>
        <w:gridCol w:w="2513"/>
        <w:gridCol w:w="2492"/>
      </w:tblGrid>
      <w:tr>
        <w:trPr>
          <w:cantSplit/>
          <w:tblHeader/>
        </w:trPr>
        <w:tc>
          <w:tcPr>
            <w:tcW w:type="dxa" w:w="32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25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49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  <w:tblHeader w:val="off"/>
        </w:trPr>
        <w:tc>
          <w:tcPr>
            <w:tcW w:type="dxa" w:w="32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Running unsupported framework versions in production</w:t>
            </w:r>
          </w:p>
        </w:tc>
        <w:tc>
          <w:tcPr>
            <w:tcW w:type="dxa" w:w="14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High if Phase 1.5 slips</w:t>
            </w:r>
          </w:p>
        </w:tc>
        <w:tc>
          <w:tcPr>
            <w:tcW w:type="dxa" w:w="25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49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Upgrade before go-live; track CVEs in CI (dependency scanning)</w:t>
            </w:r>
          </w:p>
        </w:tc>
      </w:tr>
      <w:tr>
        <w:trPr>
          <w:cantSplit/>
          <w:tblHeader w:val="off"/>
        </w:trPr>
        <w:tc>
          <w:tcPr>
            <w:tcW w:type="dxa" w:w="32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Shared HS256 secret leaks</w:t>
            </w:r>
          </w:p>
        </w:tc>
        <w:tc>
          <w:tcPr>
            <w:tcW w:type="dxa" w:w="14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25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High (anyone could mint tokens)</w:t>
            </w:r>
          </w:p>
        </w:tc>
        <w:tc>
          <w:tcPr>
            <w:tcW w:type="dxa" w:w="249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RS256 + JWKS (Phase 1.2)</w:t>
            </w:r>
          </w:p>
        </w:tc>
      </w:tr>
      <w:tr>
        <w:trPr>
          <w:cantSplit/>
          <w:tblHeader w:val="off"/>
        </w:trPr>
        <w:tc>
          <w:tcPr>
            <w:tcW w:type="dxa" w:w="32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Outbox relay duplicates under scale-out (confirmed: no row lock today)</w:t>
            </w:r>
          </w:p>
        </w:tc>
        <w:tc>
          <w:tcPr>
            <w:tcW w:type="dxa" w:w="14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High once replicas &gt; 1</w:t>
            </w:r>
          </w:p>
        </w:tc>
        <w:tc>
          <w:tcPr>
            <w:tcW w:type="dxa" w:w="25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Low for correctness (consumers are idempotent), Medium for load</w:t>
            </w:r>
          </w:p>
        </w:tc>
        <w:tc>
          <w:tcPr>
            <w:tcW w:type="dxa" w:w="249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SKIP LOCKED</w:t>
            </w:r>
            <w:r>
              <w:rPr>
                <w:sz w:val="18"/>
                <w:szCs w:val="18"/>
              </w:rPr>
              <w:t xml:space="preserve"> claim (F6, Phase 0.4)</w:t>
            </w:r>
          </w:p>
        </w:tc>
      </w:tr>
      <w:tr>
        <w:trPr>
          <w:cantSplit/>
          <w:tblHeader w:val="off"/>
        </w:trPr>
        <w:tc>
          <w:tcPr>
            <w:tcW w:type="dxa" w:w="32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DLQ messages go unnoticed</w:t>
            </w:r>
          </w:p>
        </w:tc>
        <w:tc>
          <w:tcPr>
            <w:tcW w:type="dxa" w:w="14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5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Medium (a student paid but is not enrolled)</w:t>
            </w:r>
          </w:p>
        </w:tc>
        <w:tc>
          <w:tcPr>
            <w:tcW w:type="dxa" w:w="249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DLQ depth alert plus runbook (Phase 0.5, 1.4)</w:t>
            </w:r>
          </w:p>
        </w:tc>
      </w:tr>
      <w:tr>
        <w:trPr>
          <w:cantSplit/>
          <w:tblHeader w:val="off"/>
        </w:trPr>
        <w:tc>
          <w:tcPr>
            <w:tcW w:type="dxa" w:w="32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Single-node PostgreSQL or RabbitMQ failure</w:t>
            </w:r>
          </w:p>
        </w:tc>
        <w:tc>
          <w:tcPr>
            <w:tcW w:type="dxa" w:w="14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Medium (today)</w:t>
            </w:r>
          </w:p>
        </w:tc>
        <w:tc>
          <w:tcPr>
            <w:tcW w:type="dxa" w:w="25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49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Managed HA database, quorum-queue cluster (Phase 2)</w:t>
            </w:r>
          </w:p>
        </w:tc>
      </w:tr>
      <w:tr>
        <w:trPr>
          <w:cantSplit/>
          <w:tblHeader w:val="off"/>
        </w:trPr>
        <w:tc>
          <w:tcPr>
            <w:tcW w:type="dxa" w:w="32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Environment-specific CORS origins drift</w:t>
            </w:r>
          </w:p>
        </w:tc>
        <w:tc>
          <w:tcPr>
            <w:tcW w:type="dxa" w:w="14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5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Medium (production 403s like the one seen in testing)</w:t>
            </w:r>
          </w:p>
        </w:tc>
        <w:tc>
          <w:tcPr>
            <w:tcW w:type="dxa" w:w="249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Fix the root cause (F1) so no origin list is needed</w:t>
            </w:r>
          </w:p>
        </w:tc>
      </w:tr>
      <w:tr>
        <w:trPr>
          <w:cantSplit/>
          <w:tblHeader w:val="off"/>
        </w:trPr>
        <w:tc>
          <w:tcPr>
            <w:tcW w:type="dxa" w:w="32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Feign dependency on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course-service</w:t>
            </w:r>
            <w:r>
              <w:rPr>
                <w:sz w:val="18"/>
                <w:szCs w:val="18"/>
              </w:rPr>
              <w:t xml:space="preserve"> cascades</w:t>
            </w:r>
          </w:p>
        </w:tc>
        <w:tc>
          <w:tcPr>
            <w:tcW w:type="dxa" w:w="14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Low–Medium</w:t>
            </w:r>
          </w:p>
        </w:tc>
        <w:tc>
          <w:tcPr>
            <w:tcW w:type="dxa" w:w="25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49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Circuit breakers already exist; read models in Phase 4.3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39" w:id="39"/>
      <w:r>
        <w:t xml:space="preserve">Appendix A: Event catalogue</w:t>
      </w:r>
      <w:bookmarkEnd w:id="39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2"/>
        <w:gridCol w:w="2467"/>
        <w:gridCol w:w="2252"/>
        <w:gridCol w:w="2975"/>
      </w:tblGrid>
      <w:tr>
        <w:trPr>
          <w:cantSplit/>
          <w:tblHeader/>
        </w:trPr>
        <w:tc>
          <w:tcPr>
            <w:tcW w:type="dxa" w:w="205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Routing key</w:t>
            </w:r>
          </w:p>
        </w:tc>
        <w:tc>
          <w:tcPr>
            <w:tcW w:type="dxa" w:w="246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225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Consumers</w:t>
            </w:r>
          </w:p>
        </w:tc>
        <w:tc>
          <w:tcPr>
            <w:tcW w:type="dxa" w:w="297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rPr>
          <w:cantSplit/>
          <w:tblHeader w:val="off"/>
        </w:trPr>
        <w:tc>
          <w:tcPr>
            <w:tcW w:type="dxa" w:w="205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payment.succeeded</w:t>
            </w:r>
          </w:p>
        </w:tc>
        <w:tc>
          <w:tcPr>
            <w:tcW w:type="dxa" w:w="246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payment-service (outbox)</w:t>
            </w:r>
          </w:p>
        </w:tc>
        <w:tc>
          <w:tcPr>
            <w:tcW w:type="dxa" w:w="225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enrollment-service</w:t>
            </w:r>
          </w:p>
        </w:tc>
        <w:tc>
          <w:tcPr>
            <w:tcW w:type="dxa" w:w="297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Create enrollment (idempotent)</w:t>
            </w:r>
          </w:p>
        </w:tc>
      </w:tr>
      <w:tr>
        <w:trPr>
          <w:cantSplit/>
          <w:tblHeader w:val="off"/>
        </w:trPr>
        <w:tc>
          <w:tcPr>
            <w:tcW w:type="dxa" w:w="205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enrollment.created</w:t>
            </w:r>
          </w:p>
        </w:tc>
        <w:tc>
          <w:tcPr>
            <w:tcW w:type="dxa" w:w="246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enrollment-service (outbox)</w:t>
            </w:r>
          </w:p>
        </w:tc>
        <w:tc>
          <w:tcPr>
            <w:tcW w:type="dxa" w:w="225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297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"You're enrolled" email</w:t>
            </w:r>
          </w:p>
        </w:tc>
      </w:tr>
      <w:tr>
        <w:trPr>
          <w:cantSplit/>
          <w:tblHeader w:val="off"/>
        </w:trPr>
        <w:tc>
          <w:tcPr>
            <w:tcW w:type="dxa" w:w="205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course.completed</w:t>
            </w:r>
          </w:p>
        </w:tc>
        <w:tc>
          <w:tcPr>
            <w:tcW w:type="dxa" w:w="246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enrollment-service (outbox)</w:t>
            </w:r>
          </w:p>
        </w:tc>
        <w:tc>
          <w:tcPr>
            <w:tcW w:type="dxa" w:w="225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certificate-service</w:t>
            </w:r>
          </w:p>
        </w:tc>
        <w:tc>
          <w:tcPr>
            <w:tcW w:type="dxa" w:w="297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Issue one certificate per student per course</w:t>
            </w:r>
          </w:p>
        </w:tc>
      </w:tr>
      <w:tr>
        <w:trPr>
          <w:cantSplit/>
          <w:tblHeader w:val="off"/>
        </w:trPr>
        <w:tc>
          <w:tcPr>
            <w:tcW w:type="dxa" w:w="205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certificate.issued</w:t>
            </w:r>
          </w:p>
        </w:tc>
        <w:tc>
          <w:tcPr>
            <w:tcW w:type="dxa" w:w="246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certificate-service (outbox)</w:t>
            </w:r>
          </w:p>
        </w:tc>
        <w:tc>
          <w:tcPr>
            <w:tcW w:type="dxa" w:w="225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297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"Your certificate" email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Envelope (all events):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eventId</w:t>
      </w:r>
      <w:r>
        <w:t xml:space="preserve">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type</w:t>
      </w:r>
      <w:r>
        <w:t xml:space="preserve">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version</w:t>
      </w:r>
      <w:r>
        <w:t xml:space="preserve">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occurredAt</w:t>
      </w:r>
      <w:r>
        <w:t xml:space="preserve">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correlationId</w:t>
      </w:r>
      <w:r>
        <w:t xml:space="preserve">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payload</w:t>
      </w:r>
      <w:r>
        <w:t xml:space="preserve">. Exchange: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learning.events</w:t>
      </w:r>
      <w:r>
        <w:t xml:space="preserve"> (topic). Each consumer has its own queue and DLQ, 3 retries with backoff.</w:t>
      </w:r>
    </w:p>
    <w:p>
      <w:pPr>
        <w:pStyle w:val="Heading1"/>
        <w:pageBreakBefore/>
      </w:pPr>
      <w:bookmarkStart w:name="_Toc40" w:id="40"/>
      <w:r>
        <w:t xml:space="preserve">Appendix B: Port map (local and CI)</w:t>
      </w:r>
      <w:bookmarkEnd w:id="40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4"/>
        <w:gridCol w:w="1822"/>
        <w:gridCol w:w="3656"/>
        <w:gridCol w:w="1824"/>
      </w:tblGrid>
      <w:tr>
        <w:trPr>
          <w:cantSplit/>
          <w:tblHeader/>
        </w:trPr>
        <w:tc>
          <w:tcPr>
            <w:tcW w:type="dxa" w:w="24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2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Host port</w:t>
            </w:r>
          </w:p>
        </w:tc>
        <w:tc>
          <w:tcPr>
            <w:tcW w:type="dxa" w:w="365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2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A5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Host port</w:t>
            </w:r>
          </w:p>
        </w:tc>
      </w:tr>
      <w:tr>
        <w:trPr>
          <w:cantSplit/>
          <w:tblHeader w:val="off"/>
        </w:trPr>
        <w:tc>
          <w:tcPr>
            <w:tcW w:type="dxa" w:w="24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frontend (nginx)</w:t>
            </w:r>
          </w:p>
        </w:tc>
        <w:tc>
          <w:tcPr>
            <w:tcW w:type="dxa" w:w="182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9100</w:t>
            </w:r>
          </w:p>
        </w:tc>
        <w:tc>
          <w:tcPr>
            <w:tcW w:type="dxa" w:w="365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api-gateway</w:t>
            </w:r>
          </w:p>
        </w:tc>
        <w:tc>
          <w:tcPr>
            <w:tcW w:type="dxa" w:w="182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9080</w:t>
            </w:r>
          </w:p>
        </w:tc>
      </w:tr>
      <w:tr>
        <w:trPr>
          <w:cantSplit/>
          <w:tblHeader w:val="off"/>
        </w:trPr>
        <w:tc>
          <w:tcPr>
            <w:tcW w:type="dxa" w:w="24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auth-service</w:t>
            </w:r>
          </w:p>
        </w:tc>
        <w:tc>
          <w:tcPr>
            <w:tcW w:type="dxa" w:w="182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9001</w:t>
            </w:r>
          </w:p>
        </w:tc>
        <w:tc>
          <w:tcPr>
            <w:tcW w:type="dxa" w:w="365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course-service</w:t>
            </w:r>
          </w:p>
        </w:tc>
        <w:tc>
          <w:tcPr>
            <w:tcW w:type="dxa" w:w="182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9002</w:t>
            </w:r>
          </w:p>
        </w:tc>
      </w:tr>
      <w:tr>
        <w:trPr>
          <w:cantSplit/>
          <w:tblHeader w:val="off"/>
        </w:trPr>
        <w:tc>
          <w:tcPr>
            <w:tcW w:type="dxa" w:w="24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enrollment-service</w:t>
            </w:r>
          </w:p>
        </w:tc>
        <w:tc>
          <w:tcPr>
            <w:tcW w:type="dxa" w:w="182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9003</w:t>
            </w:r>
          </w:p>
        </w:tc>
        <w:tc>
          <w:tcPr>
            <w:tcW w:type="dxa" w:w="365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payment-service</w:t>
            </w:r>
          </w:p>
        </w:tc>
        <w:tc>
          <w:tcPr>
            <w:tcW w:type="dxa" w:w="182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9004</w:t>
            </w:r>
          </w:p>
        </w:tc>
      </w:tr>
      <w:tr>
        <w:trPr>
          <w:cantSplit/>
          <w:tblHeader w:val="off"/>
        </w:trPr>
        <w:tc>
          <w:tcPr>
            <w:tcW w:type="dxa" w:w="24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certificate-service</w:t>
            </w:r>
          </w:p>
        </w:tc>
        <w:tc>
          <w:tcPr>
            <w:tcW w:type="dxa" w:w="182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9005</w:t>
            </w:r>
          </w:p>
        </w:tc>
        <w:tc>
          <w:tcPr>
            <w:tcW w:type="dxa" w:w="365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review-service (reserved)</w:t>
            </w:r>
          </w:p>
        </w:tc>
        <w:tc>
          <w:tcPr>
            <w:tcW w:type="dxa" w:w="182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9006</w:t>
            </w:r>
          </w:p>
        </w:tc>
      </w:tr>
      <w:tr>
        <w:trPr>
          <w:cantSplit/>
          <w:tblHeader w:val="off"/>
        </w:trPr>
        <w:tc>
          <w:tcPr>
            <w:tcW w:type="dxa" w:w="24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182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9007</w:t>
            </w:r>
          </w:p>
        </w:tc>
        <w:tc>
          <w:tcPr>
            <w:tcW w:type="dxa" w:w="365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echo-service</w:t>
            </w:r>
          </w:p>
        </w:tc>
        <w:tc>
          <w:tcPr>
            <w:tcW w:type="dxa" w:w="182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9099</w:t>
            </w:r>
          </w:p>
        </w:tc>
      </w:tr>
      <w:tr>
        <w:trPr>
          <w:cantSplit/>
          <w:tblHeader w:val="off"/>
        </w:trPr>
        <w:tc>
          <w:tcPr>
            <w:tcW w:type="dxa" w:w="24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discovery-server</w:t>
            </w:r>
          </w:p>
        </w:tc>
        <w:tc>
          <w:tcPr>
            <w:tcW w:type="dxa" w:w="182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9761</w:t>
            </w:r>
          </w:p>
        </w:tc>
        <w:tc>
          <w:tcPr>
            <w:tcW w:type="dxa" w:w="365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config-server</w:t>
            </w:r>
          </w:p>
        </w:tc>
        <w:tc>
          <w:tcPr>
            <w:tcW w:type="dxa" w:w="182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9888</w:t>
            </w:r>
          </w:p>
        </w:tc>
      </w:tr>
      <w:tr>
        <w:trPr>
          <w:cantSplit/>
          <w:tblHeader w:val="off"/>
        </w:trPr>
        <w:tc>
          <w:tcPr>
            <w:tcW w:type="dxa" w:w="24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182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9432</w:t>
            </w:r>
          </w:p>
        </w:tc>
        <w:tc>
          <w:tcPr>
            <w:tcW w:type="dxa" w:w="365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RabbitMQ AMQP / UI</w:t>
            </w:r>
          </w:p>
        </w:tc>
        <w:tc>
          <w:tcPr>
            <w:tcW w:type="dxa" w:w="182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9672 / 9673</w:t>
            </w:r>
          </w:p>
        </w:tc>
      </w:tr>
      <w:tr>
        <w:trPr>
          <w:cantSplit/>
          <w:tblHeader w:val="off"/>
        </w:trPr>
        <w:tc>
          <w:tcPr>
            <w:tcW w:type="dxa" w:w="244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Mailpit SMTP / UI</w:t>
            </w:r>
          </w:p>
        </w:tc>
        <w:tc>
          <w:tcPr>
            <w:tcW w:type="dxa" w:w="182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9025 / 9825</w:t>
            </w:r>
          </w:p>
        </w:tc>
        <w:tc>
          <w:tcPr>
            <w:tcW w:type="dxa" w:w="365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182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41" w:id="41"/>
      <w:r>
        <w:t xml:space="preserve">Appendix C: Source references</w:t>
      </w:r>
      <w:bookmarkEnd w:id="41"/>
    </w:p>
    <w:p>
      <w:pPr>
        <w:pStyle w:val="ListParagraph"/>
        <w:numPr>
          <w:ilvl w:val="0"/>
          <w:numId w:val="3"/>
        </w:numPr>
        <w:spacing w:after="60"/>
      </w:pPr>
      <w:r>
        <w:t xml:space="preserve">Constitution: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.specify/memory/constitution.md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Gateway routes, CORS, rate limits: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backend/config-repo/api-gateway.yml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contracts: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specs/00*/contracts/*.openapi.yaml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Event envelope: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backend/shared-events/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Stack definition: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docker-compose.yml</w:t>
      </w:r>
      <w:r>
        <w:t xml:space="preserve">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scripts/up.sh</w:t>
      </w:r>
      <w:r>
        <w:t xml:space="preserve">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scripts/smoke-test.sh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NUMPAGES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LearnHub — Solution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0"/>
    </w:pPr>
    <w:rPr>
      <w:rFonts w:ascii="Calibri" w:cs="Calibri" w:eastAsia="Calibri" w:hAnsi="Calibri"/>
      <w:b/>
      <w:bCs/>
      <w:color w:val="1A5FB4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1A5FB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LearnHub — Solution Architecture</dc:title>
  <dc:creator>LearnHub architecture</dc:creator>
  <cp:lastModifiedBy>Un-named</cp:lastModifiedBy>
  <cp:revision>1</cp:revision>
  <dcterms:created xsi:type="dcterms:W3CDTF">2026-10-20T11:20:53.942Z</dcterms:created>
  <dcterms:modified xsi:type="dcterms:W3CDTF">2026-10-20T11:20:53.944Z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