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Коммерческое предложение</w:t>
      </w:r>
    </w:p>
    <w:p>
      <w:pPr>
        <w:spacing w:after="200" w:before="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Платёжная страница GetCourse — интеграция LifePay и логика отображения</w:t>
      </w:r>
    </w:p>
    <w:p>
      <w:pPr>
        <w:pBdr>
          <w:bottom w:val="single" w:color="1B4F8A" w:sz="8" w:space="1"/>
        </w:pBd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Кому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Ольга Шавковская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От кого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Андрей Худолей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Дата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8 мая 2026 г.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Срок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до 15 мая 2026 г.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Стоимость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60 000 рублей</w:t>
            </w:r>
          </w:p>
        </w:tc>
      </w:tr>
    </w:tbl>
    <w:p>
      <w:pPr>
        <w:spacing w:after="40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Состав работ</w:t>
      </w:r>
    </w:p>
    <w:p>
      <w:pPr>
        <w:pBdr>
          <w:bottom w:val="single" w:color="2E75B6" w:sz="8" w:space="1"/>
        </w:pBdr>
        <w:spacing w:after="160" w:before="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1. Интеграция LifePay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Подключение LifePay как способа оплаты в GetCourse с поддержкой СБП и фискализацией через вашу облачную кассу.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Серверный обработчик: создание платёжного счёта, получение ссылки на оплату.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Встраивание кнопки LifePay / СБП на страницу оплаты GetCourse.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Обработка уведомлений от LifePay (webhook): верификация подписи, автоматическое обновление статуса заказа в GetCourse.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Фискализация через облачную кассу LifePay (54-ФЗ): формирование и отправка чека при успешной оплате.</w:t>
      </w:r>
    </w:p>
    <w:p>
      <w:pP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2. Логика отображения способов оплаты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Настройка страницы оплаты GetCourse: нужные способы оплаты показываются в нужном порядке и раскрываются блоками.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Первый экран: СБП (LifePay) и ОТП — видны сразу.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Кнопка «Другие способы оплаты»: раскрывает остальные банки и рассрочки.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Кнопка «Иностранные карты»: раскрывает второй скрытый блок.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Устойчивая JS-логика: работает при асинхронной загрузке и на мобильных устройствах.</w:t>
      </w:r>
    </w:p>
    <w:p>
      <w:pPr>
        <w:spacing w:after="40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Стоимость и оплата</w:t>
      </w:r>
    </w:p>
    <w:p>
      <w:pPr>
        <w:pBdr>
          <w:bottom w:val="single" w:color="2E75B6" w:sz="8" w:space="1"/>
        </w:pBd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Итого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60 000 рублей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Предоплата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30 000 руб. — до начала работ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Остаток</w:t>
            </w:r>
          </w:p>
        </w:tc>
        <w:tc>
          <w:tcPr>
            <w:tcW w:type="dxa" w:w="6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30 000 руб. — по завершении и приёмке</w:t>
            </w:r>
          </w:p>
        </w:tc>
      </w:tr>
    </w:tbl>
    <w:p>
      <w:pPr>
        <w:spacing w:after="40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Хостинг серверной части</w:t>
      </w:r>
    </w:p>
    <w:p>
      <w:pPr>
        <w:pBdr>
          <w:bottom w:val="single" w:color="2E75B6" w:sz="8" w:space="1"/>
        </w:pBdr>
        <w:spacing w:after="160" w:before="0"/>
      </w:pP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Серверный обработчик размещается на моей инфраструктуре сроком не менее 1 года. Разворачивать и обслуживать сервер самостоятельно не нужно.</w:t>
      </w:r>
    </w:p>
    <w:p>
      <w:pPr>
        <w:spacing w:after="40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Что нужно от вас для старта</w:t>
      </w:r>
    </w:p>
    <w:p>
      <w:pPr>
        <w:pBdr>
          <w:bottom w:val="single" w:color="2E75B6" w:sz="8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Данные LifePay из личного кабинета: идентификатор сервиса, API-ключ, секретный ключ сервиса.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Доступ администратора к GetCourse (для работы со страницей оплаты и API заказов).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Ссылка на страницу оплаты, где настраивается логика отображения.</w:t>
      </w:r>
    </w:p>
    <w:p>
      <w:pPr>
        <w:spacing w:after="40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Гарантии и поддержка</w:t>
      </w:r>
    </w:p>
    <w:p>
      <w:pPr>
        <w:pBdr>
          <w:bottom w:val="single" w:color="2E75B6" w:sz="8" w:space="1"/>
        </w:pBdr>
        <w:spacing w:after="160" w:before="0"/>
      </w:pP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Работа считается выполненной после успешного прохождения тестовых оплат: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СБП через LifePay — статус заказа в GetCourse обновляется автоматически.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Чек уходит покупателю через облачную кассу.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Логика отображения работает в десктопной и мобильной версии браузера.</w:t>
      </w:r>
    </w:p>
    <w:p>
      <w:pPr>
        <w:spacing w:after="160" w:before="0"/>
      </w:pP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После приёмки — 14 дней поддержки суммарным объёмом до 6 часов: устранение выявленных проблем, консультации по работе интеграции.</w:t>
      </w:r>
    </w:p>
    <w:p>
      <w:pPr>
        <w:spacing w:after="40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Что не входит в стоимость</w:t>
      </w:r>
    </w:p>
    <w:p>
      <w:pPr>
        <w:pBdr>
          <w:bottom w:val="single" w:color="2E75B6" w:sz="8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Дизайн страницы оплаты.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Подключение других платёжных систем (Т-Банк, Lava Top и др.).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Изменения в логике оплаты после приёмки работ.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Техническая поддержка LifePay на стороне банка.</w:t>
      </w:r>
    </w:p>
    <w:p>
      <w:pPr>
        <w:spacing w:after="5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EA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Следующий шаг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Для старта работ: подтвердить КП и перечислить предоплату 30 000 рублей.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555555"/>
        <w:sz w:val="18"/>
        <w:szCs w:val="18"/>
      </w:rPr>
      <w:t xml:space="preserve">Андрей Худолей  ·  andrey@khudoley.pro</w:t>
    </w:r>
    <w:r>
      <w:rPr>
        <w:rFonts w:ascii="Arial" w:cs="Arial" w:eastAsia="Arial" w:hAnsi="Arial"/>
        <w:color w:val="555555"/>
        <w:sz w:val="18"/>
        <w:szCs w:val="18"/>
      </w:rPr>
      <w:t xml:space="preserve">	Стр.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555555"/>
        <w:sz w:val="18"/>
        <w:szCs w:val="18"/>
      </w:rPr>
      <w:t xml:space="preserve">Коммерческое предложение</w:t>
    </w:r>
    <w:r>
      <w:rPr>
        <w:rFonts w:ascii="Arial" w:cs="Arial" w:eastAsia="Arial" w:hAnsi="Arial"/>
        <w:color w:val="555555"/>
        <w:sz w:val="18"/>
        <w:szCs w:val="18"/>
      </w:rPr>
      <w:t xml:space="preserve">	8 мая 2026 г.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2026-05-07T23:36:51.528Z</dcterms:created>
  <dcterms:modified xsi:type="dcterms:W3CDTF">2026-05-07T23:36:51.528Z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