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F236E" w14:textId="61925F1A" w:rsidR="00BC11F2" w:rsidRPr="00BC11F2" w:rsidRDefault="00BC11F2" w:rsidP="00BC11F2">
      <w:pPr>
        <w:spacing w:after="0"/>
        <w:jc w:val="center"/>
        <w:rPr>
          <w:rFonts w:ascii="Times New Roman" w:eastAsia="Times New Roman" w:hAnsi="Times New Roman" w:cs="Times New Roman"/>
          <w:sz w:val="20"/>
          <w:szCs w:val="20"/>
        </w:rPr>
      </w:pPr>
      <w:r w:rsidRPr="00BC11F2">
        <w:rPr>
          <w:rFonts w:ascii="Times New Roman" w:eastAsia="Times New Roman" w:hAnsi="Times New Roman" w:cs="Times New Roman"/>
          <w:noProof/>
          <w:sz w:val="20"/>
          <w:szCs w:val="20"/>
        </w:rPr>
        <w:drawing>
          <wp:inline distT="0" distB="0" distL="0" distR="0" wp14:anchorId="03E25334" wp14:editId="7CB25C78">
            <wp:extent cx="4761865" cy="11811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1865" cy="1181100"/>
                    </a:xfrm>
                    <a:prstGeom prst="rect">
                      <a:avLst/>
                    </a:prstGeom>
                    <a:noFill/>
                  </pic:spPr>
                </pic:pic>
              </a:graphicData>
            </a:graphic>
          </wp:inline>
        </w:drawing>
      </w:r>
    </w:p>
    <w:p w14:paraId="530EDEA5" w14:textId="77777777" w:rsidR="00BC11F2" w:rsidRPr="00BC11F2" w:rsidRDefault="00BC11F2" w:rsidP="00BC11F2">
      <w:pPr>
        <w:spacing w:after="0"/>
        <w:jc w:val="center"/>
        <w:rPr>
          <w:rFonts w:ascii="Times New Roman" w:eastAsia="Times New Roman" w:hAnsi="Times New Roman" w:cs="Times New Roman"/>
        </w:rPr>
      </w:pPr>
    </w:p>
    <w:p w14:paraId="7C8035CE" w14:textId="3F3A9375" w:rsidR="00BC11F2" w:rsidRPr="00BC11F2" w:rsidRDefault="00BC11F2" w:rsidP="00BC11F2">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ШКОЛА КОМПЬЮТЕРНЫХ НАУК</w:t>
      </w:r>
    </w:p>
    <w:p w14:paraId="5D9D262E" w14:textId="3DA2C74B" w:rsidR="00BC11F2" w:rsidRPr="00BC11F2" w:rsidRDefault="00BC11F2" w:rsidP="00BC11F2">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программного обеспечения</w:t>
      </w:r>
    </w:p>
    <w:p w14:paraId="70CEA6C6" w14:textId="77777777" w:rsidR="00BC11F2" w:rsidRPr="00BC11F2" w:rsidRDefault="00BC11F2" w:rsidP="00BC11F2">
      <w:pPr>
        <w:spacing w:after="0"/>
        <w:jc w:val="center"/>
        <w:rPr>
          <w:rFonts w:ascii="Times New Roman" w:eastAsia="Times New Roman" w:hAnsi="Times New Roman" w:cs="Times New Roman"/>
          <w:sz w:val="20"/>
          <w:szCs w:val="20"/>
        </w:rPr>
      </w:pPr>
    </w:p>
    <w:tbl>
      <w:tblPr>
        <w:tblW w:w="9639" w:type="dxa"/>
        <w:tblInd w:w="108" w:type="dxa"/>
        <w:tblLook w:val="04A0" w:firstRow="1" w:lastRow="0" w:firstColumn="1" w:lastColumn="0" w:noHBand="0" w:noVBand="1"/>
      </w:tblPr>
      <w:tblGrid>
        <w:gridCol w:w="3544"/>
        <w:gridCol w:w="6095"/>
      </w:tblGrid>
      <w:tr w:rsidR="00BC11F2" w:rsidRPr="00BC11F2" w14:paraId="658F4E57" w14:textId="77777777" w:rsidTr="003A7368">
        <w:trPr>
          <w:trHeight w:val="1846"/>
        </w:trPr>
        <w:tc>
          <w:tcPr>
            <w:tcW w:w="3544" w:type="dxa"/>
          </w:tcPr>
          <w:p w14:paraId="42E0E1A1" w14:textId="77777777" w:rsidR="00BC11F2" w:rsidRPr="00BC11F2" w:rsidRDefault="00BC11F2" w:rsidP="00BC11F2">
            <w:pPr>
              <w:spacing w:after="0"/>
              <w:jc w:val="center"/>
              <w:rPr>
                <w:rFonts w:ascii="Times New Roman" w:eastAsia="Times New Roman" w:hAnsi="Times New Roman" w:cs="Times New Roman"/>
                <w:sz w:val="28"/>
                <w:szCs w:val="28"/>
              </w:rPr>
            </w:pPr>
          </w:p>
        </w:tc>
        <w:tc>
          <w:tcPr>
            <w:tcW w:w="6095" w:type="dxa"/>
          </w:tcPr>
          <w:p w14:paraId="483CC650" w14:textId="77777777" w:rsidR="00BC11F2" w:rsidRPr="00BC11F2" w:rsidRDefault="00BC11F2" w:rsidP="00BC11F2">
            <w:pPr>
              <w:spacing w:after="0"/>
              <w:ind w:left="-101"/>
              <w:jc w:val="both"/>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 xml:space="preserve">РЕКОМЕНДОВАНО К ЗАЩИТЕ В ГЭК </w:t>
            </w:r>
          </w:p>
          <w:p w14:paraId="5E90C952" w14:textId="77777777" w:rsidR="00BC11F2" w:rsidRPr="00BC11F2" w:rsidRDefault="00BC11F2" w:rsidP="00BC11F2">
            <w:pPr>
              <w:spacing w:after="0"/>
              <w:ind w:left="-69" w:right="-108"/>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Заведующий кафедрой /руководитель</w:t>
            </w:r>
          </w:p>
          <w:p w14:paraId="73883BF5" w14:textId="77777777" w:rsidR="00BC11F2" w:rsidRPr="00BC11F2" w:rsidRDefault="00BC11F2" w:rsidP="00BC11F2">
            <w:pPr>
              <w:spacing w:after="0"/>
              <w:ind w:left="-69" w:right="-108"/>
              <w:rPr>
                <w:rFonts w:ascii="Times New Roman" w:eastAsia="Times New Roman" w:hAnsi="Times New Roman" w:cs="Times New Roman"/>
                <w:i/>
              </w:rPr>
            </w:pPr>
            <w:r w:rsidRPr="00BC11F2">
              <w:rPr>
                <w:rFonts w:ascii="Times New Roman" w:eastAsia="Times New Roman" w:hAnsi="Times New Roman" w:cs="Times New Roman"/>
                <w:sz w:val="28"/>
                <w:szCs w:val="28"/>
              </w:rPr>
              <w:t xml:space="preserve">учебного офиса, академического департамента/ заместитель директора, курирующий образовательную деятельность </w:t>
            </w:r>
            <w:r w:rsidRPr="00BC11F2">
              <w:rPr>
                <w:rFonts w:ascii="Times New Roman" w:eastAsia="Times New Roman" w:hAnsi="Times New Roman" w:cs="Times New Roman"/>
                <w:sz w:val="28"/>
                <w:szCs w:val="28"/>
              </w:rPr>
              <w:br/>
            </w:r>
            <w:r w:rsidRPr="00BC11F2">
              <w:rPr>
                <w:rFonts w:ascii="Times New Roman" w:eastAsia="Times New Roman" w:hAnsi="Times New Roman" w:cs="Times New Roman"/>
                <w:i/>
              </w:rPr>
              <w:t>(указать ученую степень, ученое звание)</w:t>
            </w:r>
          </w:p>
          <w:p w14:paraId="4C7118CB" w14:textId="77777777" w:rsidR="00BC11F2" w:rsidRPr="00BC11F2" w:rsidRDefault="00BC11F2" w:rsidP="00BC11F2">
            <w:pPr>
              <w:spacing w:after="0"/>
              <w:jc w:val="both"/>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________________ Инициалы, фамилия</w:t>
            </w:r>
          </w:p>
          <w:p w14:paraId="29D10814" w14:textId="4FAADD50" w:rsidR="00BC11F2" w:rsidRPr="00BC11F2" w:rsidRDefault="00BC11F2" w:rsidP="00BC11F2">
            <w:pPr>
              <w:spacing w:after="0"/>
              <w:jc w:val="both"/>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________________ 20</w:t>
            </w:r>
            <w:r>
              <w:rPr>
                <w:rFonts w:ascii="Times New Roman" w:eastAsia="Times New Roman" w:hAnsi="Times New Roman" w:cs="Times New Roman"/>
                <w:sz w:val="28"/>
                <w:szCs w:val="28"/>
              </w:rPr>
              <w:t>26</w:t>
            </w:r>
            <w:r w:rsidRPr="00BC11F2">
              <w:rPr>
                <w:rFonts w:ascii="Times New Roman" w:eastAsia="Times New Roman" w:hAnsi="Times New Roman" w:cs="Times New Roman"/>
                <w:sz w:val="28"/>
                <w:szCs w:val="28"/>
              </w:rPr>
              <w:t xml:space="preserve"> г.</w:t>
            </w:r>
          </w:p>
          <w:p w14:paraId="532FA30F" w14:textId="77777777" w:rsidR="00BC11F2" w:rsidRPr="00BC11F2" w:rsidRDefault="00BC11F2" w:rsidP="00BC11F2">
            <w:pPr>
              <w:spacing w:after="0"/>
              <w:jc w:val="both"/>
              <w:rPr>
                <w:rFonts w:ascii="Times New Roman" w:eastAsia="Times New Roman" w:hAnsi="Times New Roman" w:cs="Times New Roman"/>
                <w:sz w:val="28"/>
                <w:szCs w:val="28"/>
              </w:rPr>
            </w:pPr>
          </w:p>
        </w:tc>
      </w:tr>
    </w:tbl>
    <w:p w14:paraId="45BD3BEB" w14:textId="77777777" w:rsidR="00BC11F2" w:rsidRPr="00BC11F2" w:rsidRDefault="00BC11F2" w:rsidP="00BC11F2">
      <w:pPr>
        <w:spacing w:after="0"/>
        <w:jc w:val="center"/>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ВЫПУСКНАЯ КВАЛИФИКАЦИОННАЯ РАБОТА</w:t>
      </w:r>
    </w:p>
    <w:p w14:paraId="07B077D2" w14:textId="77777777" w:rsidR="00BC11F2" w:rsidRPr="00BC11F2" w:rsidRDefault="00BC11F2" w:rsidP="00BC11F2">
      <w:pPr>
        <w:spacing w:after="0"/>
        <w:jc w:val="center"/>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магистерская диссертация</w:t>
      </w:r>
    </w:p>
    <w:p w14:paraId="17F177C7" w14:textId="77777777" w:rsidR="00BC11F2" w:rsidRPr="00BC11F2" w:rsidRDefault="00BC11F2" w:rsidP="00BC11F2">
      <w:pPr>
        <w:spacing w:after="0"/>
        <w:jc w:val="center"/>
        <w:rPr>
          <w:rFonts w:ascii="Times New Roman" w:eastAsia="Times New Roman" w:hAnsi="Times New Roman" w:cs="Times New Roman"/>
          <w:sz w:val="20"/>
          <w:szCs w:val="20"/>
        </w:rPr>
      </w:pPr>
    </w:p>
    <w:p w14:paraId="258CC185" w14:textId="63F69FE5" w:rsidR="00BC11F2" w:rsidRPr="00BC11F2" w:rsidRDefault="00BC11F2" w:rsidP="00BC11F2">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ПЛАТФОРМЫ ВЗАИМОДЕЙСТВИЯ ЗАКАЗЧИКОВ С УНИВЕРСИТЕТОМ С ПОМОЩЬЮ ЦИФРОВЫХ РЕШЕНИЙ ПО АВТОМАТИЗАЦИИ ПРОЦЕССОВ ИНИЦИАЦИИ ПРОЕКТОВ</w:t>
      </w:r>
    </w:p>
    <w:p w14:paraId="23E8D5F2" w14:textId="77777777" w:rsidR="00BC11F2" w:rsidRPr="00BC11F2" w:rsidRDefault="00BC11F2" w:rsidP="00BC11F2">
      <w:pPr>
        <w:spacing w:after="0"/>
        <w:jc w:val="center"/>
        <w:rPr>
          <w:rFonts w:ascii="Times New Roman" w:eastAsia="Times New Roman" w:hAnsi="Times New Roman" w:cs="Times New Roman"/>
          <w:sz w:val="20"/>
          <w:szCs w:val="20"/>
        </w:rPr>
      </w:pPr>
    </w:p>
    <w:p w14:paraId="36647B75" w14:textId="4E3AEB3D" w:rsidR="00BC11F2" w:rsidRPr="00BC11F2" w:rsidRDefault="00BC11F2" w:rsidP="00BC11F2">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02.04.03 Математическое обеспечение и администрирование информационных систем</w:t>
      </w:r>
    </w:p>
    <w:p w14:paraId="47E1097A" w14:textId="1422E173" w:rsidR="00BC11F2" w:rsidRPr="00BC11F2" w:rsidRDefault="00BC11F2" w:rsidP="00BC11F2">
      <w:pPr>
        <w:spacing w:after="0"/>
        <w:jc w:val="center"/>
        <w:rPr>
          <w:rFonts w:ascii="Times New Roman" w:eastAsia="Times New Roman" w:hAnsi="Times New Roman" w:cs="Times New Roman"/>
          <w:i/>
          <w:sz w:val="28"/>
          <w:szCs w:val="28"/>
        </w:rPr>
      </w:pPr>
      <w:r w:rsidRPr="00BC11F2">
        <w:rPr>
          <w:rFonts w:ascii="Times New Roman" w:eastAsia="Times New Roman" w:hAnsi="Times New Roman" w:cs="Times New Roman"/>
          <w:sz w:val="28"/>
          <w:szCs w:val="28"/>
        </w:rPr>
        <w:t>Магистерская программа</w:t>
      </w:r>
      <w:r w:rsidRPr="00BC11F2">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Разработка ПО интернета вещей и больших данных</w:t>
      </w:r>
      <w:r w:rsidRPr="00BC11F2">
        <w:rPr>
          <w:rFonts w:ascii="Times New Roman" w:eastAsia="Times New Roman" w:hAnsi="Times New Roman" w:cs="Times New Roman"/>
          <w:i/>
          <w:sz w:val="28"/>
          <w:szCs w:val="28"/>
        </w:rPr>
        <w:t xml:space="preserve">» </w:t>
      </w:r>
    </w:p>
    <w:tbl>
      <w:tblPr>
        <w:tblW w:w="9725" w:type="dxa"/>
        <w:tblInd w:w="108" w:type="dxa"/>
        <w:tblLook w:val="04A0" w:firstRow="1" w:lastRow="0" w:firstColumn="1" w:lastColumn="0" w:noHBand="0" w:noVBand="1"/>
      </w:tblPr>
      <w:tblGrid>
        <w:gridCol w:w="5204"/>
        <w:gridCol w:w="1309"/>
        <w:gridCol w:w="3212"/>
      </w:tblGrid>
      <w:tr w:rsidR="00BC11F2" w:rsidRPr="00BC11F2" w14:paraId="1D40B63C" w14:textId="77777777" w:rsidTr="00BC11F2">
        <w:trPr>
          <w:trHeight w:val="1312"/>
        </w:trPr>
        <w:tc>
          <w:tcPr>
            <w:tcW w:w="5204" w:type="dxa"/>
            <w:shd w:val="clear" w:color="auto" w:fill="auto"/>
          </w:tcPr>
          <w:p w14:paraId="245A6D08" w14:textId="77777777" w:rsidR="00BC11F2" w:rsidRPr="00BC11F2" w:rsidRDefault="00BC11F2" w:rsidP="00BC11F2">
            <w:pPr>
              <w:spacing w:after="0"/>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Выполнили работу</w:t>
            </w:r>
          </w:p>
          <w:p w14:paraId="3C1589CC" w14:textId="77777777" w:rsidR="00BC11F2" w:rsidRPr="00BC11F2" w:rsidRDefault="00BC11F2" w:rsidP="00BC11F2">
            <w:pPr>
              <w:spacing w:after="0"/>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(групповой проект)</w:t>
            </w:r>
          </w:p>
          <w:p w14:paraId="2154324D" w14:textId="25D01B7C" w:rsidR="00BC11F2" w:rsidRPr="00BC11F2" w:rsidRDefault="00BC11F2" w:rsidP="00BC11F2">
            <w:pPr>
              <w:spacing w:after="0"/>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 xml:space="preserve">студенты </w:t>
            </w:r>
            <w:r>
              <w:rPr>
                <w:rFonts w:ascii="Times New Roman" w:eastAsia="Times New Roman" w:hAnsi="Times New Roman" w:cs="Times New Roman"/>
                <w:sz w:val="28"/>
                <w:szCs w:val="28"/>
              </w:rPr>
              <w:t>2</w:t>
            </w:r>
            <w:r w:rsidRPr="00BC11F2">
              <w:rPr>
                <w:rFonts w:ascii="Times New Roman" w:eastAsia="Times New Roman" w:hAnsi="Times New Roman" w:cs="Times New Roman"/>
                <w:sz w:val="28"/>
                <w:szCs w:val="28"/>
              </w:rPr>
              <w:t xml:space="preserve"> курса</w:t>
            </w:r>
          </w:p>
          <w:p w14:paraId="2E52D4B3" w14:textId="786B3487" w:rsidR="00BC11F2" w:rsidRPr="00BC11F2" w:rsidRDefault="00BC11F2" w:rsidP="00BC11F2">
            <w:pPr>
              <w:spacing w:after="0"/>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очной формы обучения</w:t>
            </w:r>
          </w:p>
        </w:tc>
        <w:tc>
          <w:tcPr>
            <w:tcW w:w="1309" w:type="dxa"/>
            <w:shd w:val="clear" w:color="auto" w:fill="auto"/>
          </w:tcPr>
          <w:p w14:paraId="3AB6ABFF" w14:textId="77777777" w:rsidR="00BC11F2" w:rsidRPr="00BC11F2" w:rsidRDefault="00BC11F2" w:rsidP="00BC11F2">
            <w:pPr>
              <w:spacing w:after="0"/>
              <w:jc w:val="center"/>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Подпись</w:t>
            </w:r>
          </w:p>
          <w:p w14:paraId="05968DDA" w14:textId="77777777" w:rsidR="00BC11F2" w:rsidRDefault="00BC11F2" w:rsidP="00BC11F2">
            <w:pPr>
              <w:spacing w:after="0"/>
              <w:jc w:val="center"/>
              <w:rPr>
                <w:rFonts w:ascii="Times New Roman" w:eastAsia="Times New Roman" w:hAnsi="Times New Roman" w:cs="Times New Roman"/>
                <w:sz w:val="28"/>
                <w:szCs w:val="28"/>
              </w:rPr>
            </w:pPr>
          </w:p>
          <w:p w14:paraId="781C635B" w14:textId="741C87E7" w:rsidR="00BC11F2" w:rsidRPr="00BC11F2" w:rsidRDefault="00BC11F2" w:rsidP="00BC11F2">
            <w:pPr>
              <w:spacing w:after="0"/>
              <w:jc w:val="center"/>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Подпись</w:t>
            </w:r>
          </w:p>
          <w:p w14:paraId="3C8D56F5" w14:textId="615DF25C" w:rsidR="00BC11F2" w:rsidRPr="00BC11F2" w:rsidRDefault="00BC11F2" w:rsidP="00BC11F2">
            <w:pPr>
              <w:spacing w:after="0"/>
              <w:jc w:val="center"/>
              <w:rPr>
                <w:rFonts w:ascii="Times New Roman" w:eastAsia="Times New Roman" w:hAnsi="Times New Roman" w:cs="Times New Roman"/>
                <w:sz w:val="28"/>
                <w:szCs w:val="28"/>
              </w:rPr>
            </w:pPr>
          </w:p>
        </w:tc>
        <w:tc>
          <w:tcPr>
            <w:tcW w:w="3212" w:type="dxa"/>
            <w:shd w:val="clear" w:color="auto" w:fill="auto"/>
          </w:tcPr>
          <w:p w14:paraId="154DBD9D" w14:textId="0746F50B" w:rsidR="00BC11F2" w:rsidRPr="00BC11F2" w:rsidRDefault="00BC11F2" w:rsidP="00BC11F2">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Афонасьев Андрей Дмитриевич</w:t>
            </w:r>
          </w:p>
          <w:p w14:paraId="626FE3E2" w14:textId="1FA8E444" w:rsidR="00BC11F2" w:rsidRPr="00BC11F2" w:rsidRDefault="00BC11F2" w:rsidP="00BC11F2">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Фень Антон Ильич</w:t>
            </w:r>
          </w:p>
          <w:p w14:paraId="65919652" w14:textId="43CB17D4" w:rsidR="00BC11F2" w:rsidRPr="00BC11F2" w:rsidRDefault="00BC11F2" w:rsidP="00BC11F2">
            <w:pPr>
              <w:spacing w:after="0"/>
              <w:jc w:val="center"/>
              <w:rPr>
                <w:rFonts w:ascii="Times New Roman" w:eastAsia="Times New Roman" w:hAnsi="Times New Roman" w:cs="Times New Roman"/>
                <w:sz w:val="28"/>
                <w:szCs w:val="28"/>
              </w:rPr>
            </w:pPr>
          </w:p>
        </w:tc>
      </w:tr>
      <w:tr w:rsidR="00BC11F2" w:rsidRPr="00BC11F2" w14:paraId="6B2BB253" w14:textId="77777777" w:rsidTr="00BC11F2">
        <w:trPr>
          <w:trHeight w:val="575"/>
        </w:trPr>
        <w:tc>
          <w:tcPr>
            <w:tcW w:w="5204" w:type="dxa"/>
            <w:shd w:val="clear" w:color="auto" w:fill="auto"/>
          </w:tcPr>
          <w:p w14:paraId="569BEB98" w14:textId="77777777" w:rsidR="00BC11F2" w:rsidRPr="00BC11F2" w:rsidRDefault="00BC11F2" w:rsidP="00BC11F2">
            <w:pPr>
              <w:spacing w:after="0"/>
              <w:jc w:val="both"/>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Научный руководитель</w:t>
            </w:r>
          </w:p>
          <w:p w14:paraId="36AA1138" w14:textId="6AAD313A" w:rsidR="00BC11F2" w:rsidRPr="00BC11F2" w:rsidRDefault="007E348E" w:rsidP="00BC11F2">
            <w:pPr>
              <w:spacing w:after="0"/>
              <w:jc w:val="both"/>
              <w:rPr>
                <w:rFonts w:ascii="Times New Roman" w:eastAsia="Times New Roman" w:hAnsi="Times New Roman" w:cs="Times New Roman"/>
                <w:i/>
              </w:rPr>
            </w:pPr>
            <w:r>
              <w:rPr>
                <w:rFonts w:ascii="Times New Roman" w:eastAsia="Times New Roman" w:hAnsi="Times New Roman" w:cs="Times New Roman"/>
                <w:i/>
              </w:rPr>
              <w:t>Д.ф.-м.н., профессор</w:t>
            </w:r>
          </w:p>
        </w:tc>
        <w:tc>
          <w:tcPr>
            <w:tcW w:w="1309" w:type="dxa"/>
            <w:shd w:val="clear" w:color="auto" w:fill="auto"/>
          </w:tcPr>
          <w:p w14:paraId="35635382" w14:textId="77777777" w:rsidR="00BC11F2" w:rsidRPr="00BC11F2" w:rsidRDefault="00BC11F2" w:rsidP="00BC11F2">
            <w:pPr>
              <w:spacing w:after="0"/>
              <w:jc w:val="center"/>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Подпись</w:t>
            </w:r>
          </w:p>
        </w:tc>
        <w:tc>
          <w:tcPr>
            <w:tcW w:w="3212" w:type="dxa"/>
            <w:shd w:val="clear" w:color="auto" w:fill="auto"/>
          </w:tcPr>
          <w:p w14:paraId="3E87649D" w14:textId="30A8D3AF" w:rsidR="00BC11F2" w:rsidRPr="00BC11F2" w:rsidRDefault="00BC11F2" w:rsidP="00BC11F2">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Шевляков Артём Николаевич</w:t>
            </w:r>
          </w:p>
        </w:tc>
      </w:tr>
      <w:tr w:rsidR="00BC11F2" w:rsidRPr="00BC11F2" w14:paraId="20785234" w14:textId="77777777" w:rsidTr="00BC11F2">
        <w:trPr>
          <w:trHeight w:val="941"/>
        </w:trPr>
        <w:tc>
          <w:tcPr>
            <w:tcW w:w="5204" w:type="dxa"/>
            <w:shd w:val="clear" w:color="auto" w:fill="auto"/>
          </w:tcPr>
          <w:p w14:paraId="111603C7" w14:textId="77777777" w:rsidR="00BC11F2" w:rsidRPr="00BC11F2" w:rsidRDefault="00BC11F2" w:rsidP="00BC11F2">
            <w:pPr>
              <w:spacing w:after="0"/>
              <w:rPr>
                <w:rFonts w:ascii="Times New Roman" w:eastAsia="Times New Roman" w:hAnsi="Times New Roman" w:cs="Times New Roman"/>
                <w:i/>
              </w:rPr>
            </w:pPr>
            <w:r w:rsidRPr="00BC11F2">
              <w:rPr>
                <w:rFonts w:ascii="Times New Roman" w:eastAsia="Times New Roman" w:hAnsi="Times New Roman" w:cs="Times New Roman"/>
                <w:sz w:val="28"/>
                <w:szCs w:val="28"/>
              </w:rPr>
              <w:t xml:space="preserve">Рецензент </w:t>
            </w:r>
            <w:r w:rsidRPr="00BC11F2">
              <w:rPr>
                <w:rFonts w:ascii="Times New Roman" w:eastAsia="Times New Roman" w:hAnsi="Times New Roman" w:cs="Times New Roman"/>
                <w:i/>
              </w:rPr>
              <w:t>(указать ученую степень</w:t>
            </w:r>
          </w:p>
          <w:p w14:paraId="149BA8AF" w14:textId="1C6D927D" w:rsidR="00BC11F2" w:rsidRPr="00BC11F2" w:rsidRDefault="00BC11F2" w:rsidP="00BC11F2">
            <w:pPr>
              <w:spacing w:after="0"/>
              <w:rPr>
                <w:rFonts w:ascii="Times New Roman" w:eastAsia="Times New Roman" w:hAnsi="Times New Roman" w:cs="Times New Roman"/>
                <w:i/>
                <w:sz w:val="26"/>
                <w:szCs w:val="26"/>
              </w:rPr>
            </w:pPr>
            <w:r w:rsidRPr="00BC11F2">
              <w:rPr>
                <w:rFonts w:ascii="Times New Roman" w:eastAsia="Times New Roman" w:hAnsi="Times New Roman" w:cs="Times New Roman"/>
                <w:i/>
              </w:rPr>
              <w:t xml:space="preserve">(при наличии), </w:t>
            </w:r>
          </w:p>
          <w:p w14:paraId="32A30EAD" w14:textId="319CD4D9" w:rsidR="00BC11F2" w:rsidRPr="00BC11F2" w:rsidRDefault="00BC11F2" w:rsidP="00BC11F2">
            <w:pPr>
              <w:spacing w:after="0"/>
              <w:rPr>
                <w:rFonts w:ascii="Times New Roman" w:eastAsia="Times New Roman" w:hAnsi="Times New Roman" w:cs="Times New Roman"/>
                <w:i/>
                <w:sz w:val="26"/>
                <w:szCs w:val="26"/>
              </w:rPr>
            </w:pPr>
          </w:p>
        </w:tc>
        <w:tc>
          <w:tcPr>
            <w:tcW w:w="1309" w:type="dxa"/>
            <w:shd w:val="clear" w:color="auto" w:fill="auto"/>
          </w:tcPr>
          <w:p w14:paraId="3476D92B" w14:textId="77777777" w:rsidR="00BC11F2" w:rsidRPr="00BC11F2" w:rsidRDefault="00BC11F2" w:rsidP="00BC11F2">
            <w:pPr>
              <w:spacing w:after="0"/>
              <w:jc w:val="center"/>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Подпись</w:t>
            </w:r>
          </w:p>
        </w:tc>
        <w:tc>
          <w:tcPr>
            <w:tcW w:w="3212" w:type="dxa"/>
            <w:shd w:val="clear" w:color="auto" w:fill="auto"/>
          </w:tcPr>
          <w:p w14:paraId="4E7603B0" w14:textId="77777777" w:rsidR="00BC11F2" w:rsidRPr="00BC11F2" w:rsidRDefault="00BC11F2" w:rsidP="00BC11F2">
            <w:pPr>
              <w:spacing w:after="0"/>
              <w:jc w:val="center"/>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Фамилия Имя Отчество</w:t>
            </w:r>
          </w:p>
        </w:tc>
      </w:tr>
    </w:tbl>
    <w:p w14:paraId="7EA1C00A" w14:textId="77777777" w:rsidR="00BC11F2" w:rsidRPr="00BC11F2" w:rsidRDefault="00BC11F2" w:rsidP="00BC11F2">
      <w:pPr>
        <w:spacing w:after="0"/>
        <w:jc w:val="center"/>
        <w:rPr>
          <w:rFonts w:ascii="Times New Roman" w:eastAsia="Times New Roman" w:hAnsi="Times New Roman" w:cs="Times New Roman"/>
          <w:sz w:val="28"/>
          <w:szCs w:val="28"/>
        </w:rPr>
      </w:pPr>
      <w:r w:rsidRPr="00BC11F2">
        <w:rPr>
          <w:rFonts w:ascii="Times New Roman" w:eastAsia="Times New Roman" w:hAnsi="Times New Roman" w:cs="Times New Roman"/>
          <w:sz w:val="28"/>
          <w:szCs w:val="28"/>
        </w:rPr>
        <w:t>Тюмень</w:t>
      </w:r>
    </w:p>
    <w:p w14:paraId="0F837B36" w14:textId="401120DE" w:rsidR="002A09F3" w:rsidRPr="002A09F3" w:rsidRDefault="00BC11F2" w:rsidP="002A09F3">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2026</w:t>
      </w:r>
    </w:p>
    <w:sdt>
      <w:sdtPr>
        <w:rPr>
          <w:rFonts w:asciiTheme="minorHAnsi" w:eastAsiaTheme="minorEastAsia" w:hAnsiTheme="minorHAnsi" w:cstheme="minorBidi"/>
          <w:color w:val="auto"/>
          <w:sz w:val="24"/>
          <w:szCs w:val="24"/>
        </w:rPr>
        <w:id w:val="-620150610"/>
        <w:docPartObj>
          <w:docPartGallery w:val="Table of Contents"/>
          <w:docPartUnique/>
        </w:docPartObj>
      </w:sdtPr>
      <w:sdtEndPr>
        <w:rPr>
          <w:b/>
          <w:bCs/>
        </w:rPr>
      </w:sdtEndPr>
      <w:sdtContent>
        <w:p w14:paraId="1F3028FF" w14:textId="6D86F57F" w:rsidR="002A09F3" w:rsidRDefault="002A09F3">
          <w:pPr>
            <w:pStyle w:val="af"/>
          </w:pPr>
          <w:r>
            <w:t>Оглавление</w:t>
          </w:r>
        </w:p>
        <w:p w14:paraId="652EEBF2" w14:textId="7F515AF7" w:rsidR="002A09F3" w:rsidRDefault="002A09F3">
          <w:pPr>
            <w:pStyle w:val="21"/>
            <w:tabs>
              <w:tab w:val="right" w:leader="dot" w:pos="9350"/>
            </w:tabs>
            <w:rPr>
              <w:noProof/>
              <w:sz w:val="22"/>
              <w:szCs w:val="22"/>
            </w:rPr>
          </w:pPr>
          <w:r>
            <w:fldChar w:fldCharType="begin"/>
          </w:r>
          <w:r>
            <w:instrText xml:space="preserve"> TOC \o "1-3" \h \z \u </w:instrText>
          </w:r>
          <w:r>
            <w:fldChar w:fldCharType="separate"/>
          </w:r>
          <w:hyperlink w:anchor="_Toc230426978" w:history="1">
            <w:r w:rsidRPr="00BD4723">
              <w:rPr>
                <w:rStyle w:val="ac"/>
                <w:noProof/>
              </w:rPr>
              <w:t>ВВЕДЕНИЕ</w:t>
            </w:r>
            <w:r>
              <w:rPr>
                <w:noProof/>
                <w:webHidden/>
              </w:rPr>
              <w:tab/>
            </w:r>
            <w:r>
              <w:rPr>
                <w:noProof/>
                <w:webHidden/>
              </w:rPr>
              <w:fldChar w:fldCharType="begin"/>
            </w:r>
            <w:r>
              <w:rPr>
                <w:noProof/>
                <w:webHidden/>
              </w:rPr>
              <w:instrText xml:space="preserve"> PAGEREF _Toc230426978 \h </w:instrText>
            </w:r>
            <w:r>
              <w:rPr>
                <w:noProof/>
                <w:webHidden/>
              </w:rPr>
            </w:r>
            <w:r>
              <w:rPr>
                <w:noProof/>
                <w:webHidden/>
              </w:rPr>
              <w:fldChar w:fldCharType="separate"/>
            </w:r>
            <w:r>
              <w:rPr>
                <w:noProof/>
                <w:webHidden/>
              </w:rPr>
              <w:t>3</w:t>
            </w:r>
            <w:r>
              <w:rPr>
                <w:noProof/>
                <w:webHidden/>
              </w:rPr>
              <w:fldChar w:fldCharType="end"/>
            </w:r>
          </w:hyperlink>
        </w:p>
        <w:p w14:paraId="541E7DF3" w14:textId="2A88A054" w:rsidR="002A09F3" w:rsidRDefault="00065B21">
          <w:pPr>
            <w:pStyle w:val="11"/>
            <w:tabs>
              <w:tab w:val="right" w:leader="dot" w:pos="9350"/>
            </w:tabs>
            <w:rPr>
              <w:noProof/>
              <w:sz w:val="22"/>
              <w:szCs w:val="22"/>
            </w:rPr>
          </w:pPr>
          <w:hyperlink w:anchor="_Toc230426979" w:history="1">
            <w:r w:rsidR="002A09F3" w:rsidRPr="00BD4723">
              <w:rPr>
                <w:rStyle w:val="ac"/>
                <w:noProof/>
              </w:rPr>
              <w:t>ГЛАВА 1. АНАЛИТИЧЕСКИЕ ОСНОВЫ ЦИФРОВИЗАЦИИ ВЗАИМОДЕЙСТВИЯ ЗАКАЗЧИКОВ С УНИВЕРСИТЕТОМ ПРИ ИНИЦИАЦИИ ПРОЕКТОВ</w:t>
            </w:r>
            <w:r w:rsidR="002A09F3">
              <w:rPr>
                <w:noProof/>
                <w:webHidden/>
              </w:rPr>
              <w:tab/>
            </w:r>
            <w:r w:rsidR="002A09F3">
              <w:rPr>
                <w:noProof/>
                <w:webHidden/>
              </w:rPr>
              <w:fldChar w:fldCharType="begin"/>
            </w:r>
            <w:r w:rsidR="002A09F3">
              <w:rPr>
                <w:noProof/>
                <w:webHidden/>
              </w:rPr>
              <w:instrText xml:space="preserve"> PAGEREF _Toc230426979 \h </w:instrText>
            </w:r>
            <w:r w:rsidR="002A09F3">
              <w:rPr>
                <w:noProof/>
                <w:webHidden/>
              </w:rPr>
            </w:r>
            <w:r w:rsidR="002A09F3">
              <w:rPr>
                <w:noProof/>
                <w:webHidden/>
              </w:rPr>
              <w:fldChar w:fldCharType="separate"/>
            </w:r>
            <w:r w:rsidR="002A09F3">
              <w:rPr>
                <w:noProof/>
                <w:webHidden/>
              </w:rPr>
              <w:t>5</w:t>
            </w:r>
            <w:r w:rsidR="002A09F3">
              <w:rPr>
                <w:noProof/>
                <w:webHidden/>
              </w:rPr>
              <w:fldChar w:fldCharType="end"/>
            </w:r>
          </w:hyperlink>
        </w:p>
        <w:p w14:paraId="30D2C7B8" w14:textId="3119C201" w:rsidR="002A09F3" w:rsidRDefault="00065B21">
          <w:pPr>
            <w:pStyle w:val="11"/>
            <w:tabs>
              <w:tab w:val="right" w:leader="dot" w:pos="9350"/>
            </w:tabs>
            <w:rPr>
              <w:noProof/>
              <w:sz w:val="22"/>
              <w:szCs w:val="22"/>
            </w:rPr>
          </w:pPr>
          <w:hyperlink w:anchor="_Toc230426980" w:history="1">
            <w:r w:rsidR="002A09F3" w:rsidRPr="00BD4723">
              <w:rPr>
                <w:rStyle w:val="ac"/>
                <w:noProof/>
              </w:rPr>
              <w:t>ГЛАВА 2. ПРОЕКТИРОВАНИЕ ПЛАТФОРМЫ «ПРОЕКТОРИЯ»</w:t>
            </w:r>
            <w:r w:rsidR="002A09F3">
              <w:rPr>
                <w:noProof/>
                <w:webHidden/>
              </w:rPr>
              <w:tab/>
            </w:r>
            <w:r w:rsidR="002A09F3">
              <w:rPr>
                <w:noProof/>
                <w:webHidden/>
              </w:rPr>
              <w:fldChar w:fldCharType="begin"/>
            </w:r>
            <w:r w:rsidR="002A09F3">
              <w:rPr>
                <w:noProof/>
                <w:webHidden/>
              </w:rPr>
              <w:instrText xml:space="preserve"> PAGEREF _Toc230426980 \h </w:instrText>
            </w:r>
            <w:r w:rsidR="002A09F3">
              <w:rPr>
                <w:noProof/>
                <w:webHidden/>
              </w:rPr>
            </w:r>
            <w:r w:rsidR="002A09F3">
              <w:rPr>
                <w:noProof/>
                <w:webHidden/>
              </w:rPr>
              <w:fldChar w:fldCharType="separate"/>
            </w:r>
            <w:r w:rsidR="002A09F3">
              <w:rPr>
                <w:noProof/>
                <w:webHidden/>
              </w:rPr>
              <w:t>14</w:t>
            </w:r>
            <w:r w:rsidR="002A09F3">
              <w:rPr>
                <w:noProof/>
                <w:webHidden/>
              </w:rPr>
              <w:fldChar w:fldCharType="end"/>
            </w:r>
          </w:hyperlink>
        </w:p>
        <w:p w14:paraId="21449BA9" w14:textId="2AA30625" w:rsidR="002A09F3" w:rsidRDefault="00065B21">
          <w:pPr>
            <w:pStyle w:val="11"/>
            <w:tabs>
              <w:tab w:val="right" w:leader="dot" w:pos="9350"/>
            </w:tabs>
            <w:rPr>
              <w:noProof/>
              <w:sz w:val="22"/>
              <w:szCs w:val="22"/>
            </w:rPr>
          </w:pPr>
          <w:hyperlink w:anchor="_Toc230426981" w:history="1">
            <w:r w:rsidR="002A09F3" w:rsidRPr="00BD4723">
              <w:rPr>
                <w:rStyle w:val="ac"/>
                <w:noProof/>
              </w:rPr>
              <w:t>ГЛАВА 3. РЕАЛИЗАЦИЯ И ПРАКТИЧЕСКАЯ АПРОБАЦИЯ ПЛАТФОРМЫ</w:t>
            </w:r>
            <w:r w:rsidR="002A09F3">
              <w:rPr>
                <w:noProof/>
                <w:webHidden/>
              </w:rPr>
              <w:tab/>
            </w:r>
            <w:r w:rsidR="002A09F3">
              <w:rPr>
                <w:noProof/>
                <w:webHidden/>
              </w:rPr>
              <w:fldChar w:fldCharType="begin"/>
            </w:r>
            <w:r w:rsidR="002A09F3">
              <w:rPr>
                <w:noProof/>
                <w:webHidden/>
              </w:rPr>
              <w:instrText xml:space="preserve"> PAGEREF _Toc230426981 \h </w:instrText>
            </w:r>
            <w:r w:rsidR="002A09F3">
              <w:rPr>
                <w:noProof/>
                <w:webHidden/>
              </w:rPr>
            </w:r>
            <w:r w:rsidR="002A09F3">
              <w:rPr>
                <w:noProof/>
                <w:webHidden/>
              </w:rPr>
              <w:fldChar w:fldCharType="separate"/>
            </w:r>
            <w:r w:rsidR="002A09F3">
              <w:rPr>
                <w:noProof/>
                <w:webHidden/>
              </w:rPr>
              <w:t>24</w:t>
            </w:r>
            <w:r w:rsidR="002A09F3">
              <w:rPr>
                <w:noProof/>
                <w:webHidden/>
              </w:rPr>
              <w:fldChar w:fldCharType="end"/>
            </w:r>
          </w:hyperlink>
        </w:p>
        <w:p w14:paraId="6014769D" w14:textId="0090FDF1" w:rsidR="002A09F3" w:rsidRDefault="00065B21">
          <w:pPr>
            <w:pStyle w:val="11"/>
            <w:tabs>
              <w:tab w:val="right" w:leader="dot" w:pos="9350"/>
            </w:tabs>
            <w:rPr>
              <w:noProof/>
              <w:sz w:val="22"/>
              <w:szCs w:val="22"/>
            </w:rPr>
          </w:pPr>
          <w:hyperlink w:anchor="_Toc230426982" w:history="1">
            <w:r w:rsidR="002A09F3" w:rsidRPr="00BD4723">
              <w:rPr>
                <w:rStyle w:val="ac"/>
                <w:noProof/>
              </w:rPr>
              <w:t>ЗАКЛЮЧЕНИЕ</w:t>
            </w:r>
            <w:r w:rsidR="002A09F3">
              <w:rPr>
                <w:noProof/>
                <w:webHidden/>
              </w:rPr>
              <w:tab/>
            </w:r>
            <w:r w:rsidR="002A09F3">
              <w:rPr>
                <w:noProof/>
                <w:webHidden/>
              </w:rPr>
              <w:fldChar w:fldCharType="begin"/>
            </w:r>
            <w:r w:rsidR="002A09F3">
              <w:rPr>
                <w:noProof/>
                <w:webHidden/>
              </w:rPr>
              <w:instrText xml:space="preserve"> PAGEREF _Toc230426982 \h </w:instrText>
            </w:r>
            <w:r w:rsidR="002A09F3">
              <w:rPr>
                <w:noProof/>
                <w:webHidden/>
              </w:rPr>
            </w:r>
            <w:r w:rsidR="002A09F3">
              <w:rPr>
                <w:noProof/>
                <w:webHidden/>
              </w:rPr>
              <w:fldChar w:fldCharType="separate"/>
            </w:r>
            <w:r w:rsidR="002A09F3">
              <w:rPr>
                <w:noProof/>
                <w:webHidden/>
              </w:rPr>
              <w:t>24</w:t>
            </w:r>
            <w:r w:rsidR="002A09F3">
              <w:rPr>
                <w:noProof/>
                <w:webHidden/>
              </w:rPr>
              <w:fldChar w:fldCharType="end"/>
            </w:r>
          </w:hyperlink>
        </w:p>
        <w:p w14:paraId="0C17452C" w14:textId="538C9276" w:rsidR="002A09F3" w:rsidRDefault="00065B21">
          <w:pPr>
            <w:pStyle w:val="11"/>
            <w:tabs>
              <w:tab w:val="right" w:leader="dot" w:pos="9350"/>
            </w:tabs>
            <w:rPr>
              <w:noProof/>
              <w:sz w:val="22"/>
              <w:szCs w:val="22"/>
            </w:rPr>
          </w:pPr>
          <w:hyperlink w:anchor="_Toc230426983" w:history="1">
            <w:r w:rsidR="002A09F3" w:rsidRPr="00BD4723">
              <w:rPr>
                <w:rStyle w:val="ac"/>
                <w:noProof/>
              </w:rPr>
              <w:t>СПИСОК ПРИЛОЖЕНИЙ</w:t>
            </w:r>
            <w:r w:rsidR="002A09F3">
              <w:rPr>
                <w:noProof/>
                <w:webHidden/>
              </w:rPr>
              <w:tab/>
            </w:r>
            <w:r w:rsidR="002A09F3">
              <w:rPr>
                <w:noProof/>
                <w:webHidden/>
              </w:rPr>
              <w:fldChar w:fldCharType="begin"/>
            </w:r>
            <w:r w:rsidR="002A09F3">
              <w:rPr>
                <w:noProof/>
                <w:webHidden/>
              </w:rPr>
              <w:instrText xml:space="preserve"> PAGEREF _Toc230426983 \h </w:instrText>
            </w:r>
            <w:r w:rsidR="002A09F3">
              <w:rPr>
                <w:noProof/>
                <w:webHidden/>
              </w:rPr>
            </w:r>
            <w:r w:rsidR="002A09F3">
              <w:rPr>
                <w:noProof/>
                <w:webHidden/>
              </w:rPr>
              <w:fldChar w:fldCharType="separate"/>
            </w:r>
            <w:r w:rsidR="002A09F3">
              <w:rPr>
                <w:noProof/>
                <w:webHidden/>
              </w:rPr>
              <w:t>27</w:t>
            </w:r>
            <w:r w:rsidR="002A09F3">
              <w:rPr>
                <w:noProof/>
                <w:webHidden/>
              </w:rPr>
              <w:fldChar w:fldCharType="end"/>
            </w:r>
          </w:hyperlink>
        </w:p>
        <w:p w14:paraId="73C55E2E" w14:textId="61B21058" w:rsidR="002A09F3" w:rsidRDefault="00065B21">
          <w:pPr>
            <w:pStyle w:val="11"/>
            <w:tabs>
              <w:tab w:val="right" w:leader="dot" w:pos="9350"/>
            </w:tabs>
            <w:rPr>
              <w:noProof/>
              <w:sz w:val="22"/>
              <w:szCs w:val="22"/>
            </w:rPr>
          </w:pPr>
          <w:hyperlink w:anchor="_Toc230426984" w:history="1">
            <w:r w:rsidR="002A09F3" w:rsidRPr="00BD4723">
              <w:rPr>
                <w:rStyle w:val="ac"/>
                <w:noProof/>
              </w:rPr>
              <w:t>БИБЛИОГРАФИЧЕСКИЙ СПИСОК</w:t>
            </w:r>
            <w:r w:rsidR="002A09F3">
              <w:rPr>
                <w:noProof/>
                <w:webHidden/>
              </w:rPr>
              <w:tab/>
            </w:r>
            <w:r w:rsidR="002A09F3">
              <w:rPr>
                <w:noProof/>
                <w:webHidden/>
              </w:rPr>
              <w:fldChar w:fldCharType="begin"/>
            </w:r>
            <w:r w:rsidR="002A09F3">
              <w:rPr>
                <w:noProof/>
                <w:webHidden/>
              </w:rPr>
              <w:instrText xml:space="preserve"> PAGEREF _Toc230426984 \h </w:instrText>
            </w:r>
            <w:r w:rsidR="002A09F3">
              <w:rPr>
                <w:noProof/>
                <w:webHidden/>
              </w:rPr>
            </w:r>
            <w:r w:rsidR="002A09F3">
              <w:rPr>
                <w:noProof/>
                <w:webHidden/>
              </w:rPr>
              <w:fldChar w:fldCharType="separate"/>
            </w:r>
            <w:r w:rsidR="002A09F3">
              <w:rPr>
                <w:noProof/>
                <w:webHidden/>
              </w:rPr>
              <w:t>27</w:t>
            </w:r>
            <w:r w:rsidR="002A09F3">
              <w:rPr>
                <w:noProof/>
                <w:webHidden/>
              </w:rPr>
              <w:fldChar w:fldCharType="end"/>
            </w:r>
          </w:hyperlink>
        </w:p>
        <w:p w14:paraId="15A19362" w14:textId="0729E6C6" w:rsidR="002A09F3" w:rsidRDefault="002A09F3">
          <w:r>
            <w:rPr>
              <w:b/>
              <w:bCs/>
            </w:rPr>
            <w:fldChar w:fldCharType="end"/>
          </w:r>
        </w:p>
      </w:sdtContent>
    </w:sdt>
    <w:p w14:paraId="271ADCA9" w14:textId="78347543" w:rsidR="009529FE" w:rsidRDefault="009529FE" w:rsidP="00516924"/>
    <w:p w14:paraId="4C900082" w14:textId="77777777" w:rsidR="00B209B8" w:rsidRDefault="002A09F3" w:rsidP="002A09F3">
      <w:pPr>
        <w:pStyle w:val="2"/>
        <w:pageBreakBefore/>
      </w:pPr>
      <w:bookmarkStart w:id="0" w:name="введение"/>
      <w:bookmarkStart w:id="1" w:name="_Toc226251459"/>
      <w:bookmarkStart w:id="2" w:name="_Toc230426978"/>
      <w:bookmarkEnd w:id="0"/>
      <w:bookmarkEnd w:id="1"/>
      <w:r>
        <w:lastRenderedPageBreak/>
        <w:t>ВВЕДЕНИЕ</w:t>
      </w:r>
      <w:bookmarkEnd w:id="2"/>
    </w:p>
    <w:p w14:paraId="4B704F25" w14:textId="77777777" w:rsidR="00B209B8" w:rsidRDefault="002A09F3">
      <w:pPr>
        <w:spacing w:before="180" w:after="180"/>
        <w:rPr>
          <w:rFonts w:ascii="Aptos" w:eastAsia="Aptos" w:hAnsi="Aptos" w:cs="Aptos"/>
        </w:rPr>
      </w:pPr>
      <w:r>
        <w:rPr>
          <w:rFonts w:ascii="Aptos" w:eastAsia="Aptos" w:hAnsi="Aptos" w:cs="Aptos"/>
        </w:rPr>
        <w:t>Актуальность темы исследования определяется тем, что на ранней стадии взаимодействия заказчиков с университетом исходное обращение чаще всего поступает в неструктурированном виде: в форме письма, заметок по итогам встречи, текстового описания задачи или набора предварительных ожиданий. До момента запуска полноценной проектной работы такие материалы необходимо осмыслить, соотнести с возможностями университета, направить заинтересованным подразделениям и сопроводить обратную связь, причем на практике указанные действия нередко выполняются вручную и зависят от индивидуального опыта конкретного сотрудника.</w:t>
      </w:r>
    </w:p>
    <w:p w14:paraId="2E992911" w14:textId="77777777" w:rsidR="00B209B8" w:rsidRDefault="002A09F3">
      <w:pPr>
        <w:spacing w:before="180" w:after="180"/>
        <w:rPr>
          <w:rFonts w:ascii="Aptos" w:eastAsia="Aptos" w:hAnsi="Aptos" w:cs="Aptos"/>
        </w:rPr>
      </w:pPr>
      <w:r>
        <w:rPr>
          <w:rFonts w:ascii="Aptos" w:eastAsia="Aptos" w:hAnsi="Aptos" w:cs="Aptos"/>
        </w:rPr>
        <w:t>Для университетской среды данная проблема имеет повышенную сложность, поскольку распределение компетенций между институтами, кафедрами, лабораториями, исследовательскими группами и административными подразделениями делает первичную маршрутизацию самостоятельной управленческой задачей. Один и тот же запрос может требовать участия представителей разных предметных областей, а отсутствие единого порядка обработки обращений затрудняет как выбор потенциальных исполнителей, так и последующее согласование дальнейших действий.</w:t>
      </w:r>
    </w:p>
    <w:p w14:paraId="44C936DC" w14:textId="77777777" w:rsidR="00B209B8" w:rsidRDefault="002A09F3">
      <w:pPr>
        <w:spacing w:before="180" w:after="180"/>
        <w:rPr>
          <w:rFonts w:ascii="Aptos" w:eastAsia="Aptos" w:hAnsi="Aptos" w:cs="Aptos"/>
        </w:rPr>
      </w:pPr>
      <w:r>
        <w:rPr>
          <w:rFonts w:ascii="Aptos" w:eastAsia="Aptos" w:hAnsi="Aptos" w:cs="Aptos"/>
        </w:rPr>
        <w:t>Значимость рассматриваемой проблематики связана и с тем, что качество инициации во многом определяет дальнейшую траекторию проекта. Если исходный запрос интерпретирован неполно, поздно доведен до профильных подразделений или не получил прозрачного механизма отклика, возрастает риск затягивания сроков, дублирования коммуникаций и утраты значимой части содержательного контекста еще до начала основной работы.</w:t>
      </w:r>
    </w:p>
    <w:p w14:paraId="764A6CE9" w14:textId="77777777" w:rsidR="00B209B8" w:rsidRDefault="002A09F3">
      <w:pPr>
        <w:spacing w:before="180" w:after="180"/>
        <w:rPr>
          <w:rFonts w:ascii="Aptos" w:eastAsia="Aptos" w:hAnsi="Aptos" w:cs="Aptos"/>
        </w:rPr>
      </w:pPr>
      <w:r>
        <w:rPr>
          <w:rFonts w:ascii="Aptos" w:eastAsia="Aptos" w:hAnsi="Aptos" w:cs="Aptos"/>
        </w:rPr>
        <w:t>В работе рассматривается разработка платформы «Проектория», предназначенной прежде всего для внутреннего использования в университете и ориентированной на упорядочивание стадии инициации проектов. При этом заложенные в решение принципы, связанные с регистрацией обращения, его первичной обработкой, подбором релевантных подразделений, подготовкой адресных сообщений и фиксацией откликов, потенциально допускают адаптацию платформы и к условиям других образовательных организаций, если у них возникает сопоставимая организационная задача.</w:t>
      </w:r>
    </w:p>
    <w:p w14:paraId="2041226E" w14:textId="77777777" w:rsidR="00B209B8" w:rsidRDefault="002A09F3">
      <w:pPr>
        <w:spacing w:before="180" w:after="180"/>
        <w:rPr>
          <w:rFonts w:ascii="Aptos" w:eastAsia="Aptos" w:hAnsi="Aptos" w:cs="Aptos"/>
        </w:rPr>
      </w:pPr>
      <w:r>
        <w:rPr>
          <w:rFonts w:ascii="Aptos" w:eastAsia="Aptos" w:hAnsi="Aptos" w:cs="Aptos"/>
        </w:rPr>
        <w:t>Степень разработанности проблемы следует оценивать как достаточно высокую по отдельным направлениям и недостаточную применительно к рассматриваемой прикладной задаче. Вместе с тем задача построения единого внутреннего контура, который обеспечивает переход от обращения заказчика к запуску реального проекта, раскрыта в источниках фрагментарно и требует дополнительной проработки.</w:t>
      </w:r>
    </w:p>
    <w:p w14:paraId="7DD28C21" w14:textId="77777777" w:rsidR="00B209B8" w:rsidRDefault="002A09F3">
      <w:pPr>
        <w:spacing w:before="180" w:after="180"/>
        <w:rPr>
          <w:rFonts w:ascii="Aptos" w:eastAsia="Aptos" w:hAnsi="Aptos" w:cs="Aptos"/>
        </w:rPr>
      </w:pPr>
      <w:r>
        <w:rPr>
          <w:rFonts w:ascii="Aptos" w:eastAsia="Aptos" w:hAnsi="Aptos" w:cs="Aptos"/>
        </w:rPr>
        <w:t>Объектом исследования являются процессы взаимодействия заказчиков с университетом на стадии инициации проектов.</w:t>
      </w:r>
    </w:p>
    <w:p w14:paraId="1156DAB5" w14:textId="77777777" w:rsidR="00B209B8" w:rsidRDefault="002A09F3">
      <w:pPr>
        <w:spacing w:before="180" w:after="180"/>
        <w:rPr>
          <w:rFonts w:ascii="Aptos" w:eastAsia="Aptos" w:hAnsi="Aptos" w:cs="Aptos"/>
        </w:rPr>
      </w:pPr>
      <w:r>
        <w:rPr>
          <w:rFonts w:ascii="Aptos" w:eastAsia="Aptos" w:hAnsi="Aptos" w:cs="Aptos"/>
        </w:rPr>
        <w:t>Предмет исследования составляют методы, модели и программные средства автоматизации регистрации, анализа, маршрутизации и сопровождения проектных обращений, поступающих в университет от внешних заказчиков.</w:t>
      </w:r>
    </w:p>
    <w:p w14:paraId="4C110A06" w14:textId="77777777" w:rsidR="00B209B8" w:rsidRDefault="002A09F3">
      <w:pPr>
        <w:spacing w:before="180" w:after="180"/>
        <w:rPr>
          <w:rFonts w:ascii="Aptos" w:eastAsia="Aptos" w:hAnsi="Aptos" w:cs="Aptos"/>
        </w:rPr>
      </w:pPr>
      <w:r>
        <w:rPr>
          <w:rFonts w:ascii="Aptos" w:eastAsia="Aptos" w:hAnsi="Aptos" w:cs="Aptos"/>
        </w:rPr>
        <w:lastRenderedPageBreak/>
        <w:t>Целью работы является разработка платформы, обеспечивающей взаимодействие заказчиков с университетом и приводящее к запуску (инициации) проектов.</w:t>
      </w:r>
    </w:p>
    <w:p w14:paraId="44BA71D4" w14:textId="77777777" w:rsidR="00B209B8" w:rsidRDefault="002A09F3">
      <w:pPr>
        <w:spacing w:before="180" w:after="180"/>
        <w:rPr>
          <w:rFonts w:ascii="Aptos" w:eastAsia="Aptos" w:hAnsi="Aptos" w:cs="Aptos"/>
        </w:rPr>
      </w:pPr>
      <w:r>
        <w:rPr>
          <w:rFonts w:ascii="Aptos" w:eastAsia="Aptos" w:hAnsi="Aptos" w:cs="Aptos"/>
        </w:rPr>
        <w:t>Для достижения поставленной цели в работе решаются следующие задачи:</w:t>
      </w:r>
    </w:p>
    <w:p w14:paraId="3FADB033" w14:textId="77777777" w:rsidR="00B209B8" w:rsidRDefault="002A09F3">
      <w:pPr>
        <w:numPr>
          <w:ilvl w:val="0"/>
          <w:numId w:val="26"/>
        </w:numPr>
        <w:spacing w:before="36" w:after="36"/>
        <w:rPr>
          <w:rFonts w:ascii="Aptos" w:eastAsia="Aptos" w:hAnsi="Aptos" w:cs="Aptos"/>
        </w:rPr>
      </w:pPr>
      <w:r>
        <w:rPr>
          <w:rFonts w:ascii="Aptos" w:eastAsia="Aptos" w:hAnsi="Aptos" w:cs="Aptos"/>
        </w:rPr>
        <w:t>проанализировать особенности взаимодействия университета с заказчиками на ранней стадии проектной работы и выявить организационные предпосылки цифровизации данного процесса;</w:t>
      </w:r>
    </w:p>
    <w:p w14:paraId="054D7ABC" w14:textId="77777777" w:rsidR="00B209B8" w:rsidRDefault="002A09F3">
      <w:pPr>
        <w:numPr>
          <w:ilvl w:val="0"/>
          <w:numId w:val="26"/>
        </w:numPr>
        <w:spacing w:before="36" w:after="36"/>
        <w:rPr>
          <w:rFonts w:ascii="Aptos" w:eastAsia="Aptos" w:hAnsi="Aptos" w:cs="Aptos"/>
        </w:rPr>
      </w:pPr>
      <w:r>
        <w:rPr>
          <w:rFonts w:ascii="Aptos" w:eastAsia="Aptos" w:hAnsi="Aptos" w:cs="Aptos"/>
        </w:rPr>
        <w:t>исследовать проблемные зоны существующих подходов;</w:t>
      </w:r>
    </w:p>
    <w:p w14:paraId="086A287C" w14:textId="77777777" w:rsidR="00B209B8" w:rsidRDefault="002A09F3">
      <w:pPr>
        <w:numPr>
          <w:ilvl w:val="0"/>
          <w:numId w:val="26"/>
        </w:numPr>
        <w:spacing w:before="36" w:after="36"/>
        <w:rPr>
          <w:rFonts w:ascii="Aptos" w:eastAsia="Aptos" w:hAnsi="Aptos" w:cs="Aptos"/>
        </w:rPr>
      </w:pPr>
      <w:r>
        <w:rPr>
          <w:rFonts w:ascii="Aptos" w:eastAsia="Aptos" w:hAnsi="Aptos" w:cs="Aptos"/>
        </w:rPr>
        <w:t>изучить классы цифровых решений и реальные практики университетских платформ, применимых к поддержке инициации проектов;</w:t>
      </w:r>
    </w:p>
    <w:p w14:paraId="6B9FDAA3" w14:textId="77777777" w:rsidR="00B209B8" w:rsidRDefault="002A09F3">
      <w:pPr>
        <w:numPr>
          <w:ilvl w:val="0"/>
          <w:numId w:val="26"/>
        </w:numPr>
        <w:spacing w:before="36" w:after="36"/>
        <w:rPr>
          <w:rFonts w:ascii="Aptos" w:eastAsia="Aptos" w:hAnsi="Aptos" w:cs="Aptos"/>
        </w:rPr>
      </w:pPr>
      <w:r>
        <w:rPr>
          <w:rFonts w:ascii="Aptos" w:eastAsia="Aptos" w:hAnsi="Aptos" w:cs="Aptos"/>
        </w:rPr>
        <w:t>сформулировать требования к разрабатываемой платформе с учетом специфики внутренней эксплуатации в университете;</w:t>
      </w:r>
    </w:p>
    <w:p w14:paraId="6E9384E4" w14:textId="77777777" w:rsidR="00B209B8" w:rsidRDefault="002A09F3">
      <w:pPr>
        <w:numPr>
          <w:ilvl w:val="0"/>
          <w:numId w:val="26"/>
        </w:numPr>
        <w:spacing w:before="36" w:after="36"/>
        <w:rPr>
          <w:rFonts w:ascii="Aptos" w:eastAsia="Aptos" w:hAnsi="Aptos" w:cs="Aptos"/>
        </w:rPr>
      </w:pPr>
      <w:r>
        <w:rPr>
          <w:rFonts w:ascii="Aptos" w:eastAsia="Aptos" w:hAnsi="Aptos" w:cs="Aptos"/>
        </w:rPr>
        <w:t>спроектировать архитектуру системы, информационную модель и логику взаимодействия основных модулей;</w:t>
      </w:r>
    </w:p>
    <w:p w14:paraId="2C5E0B67" w14:textId="77777777" w:rsidR="00B209B8" w:rsidRDefault="002A09F3">
      <w:pPr>
        <w:numPr>
          <w:ilvl w:val="0"/>
          <w:numId w:val="26"/>
        </w:numPr>
        <w:spacing w:before="36" w:after="36"/>
        <w:rPr>
          <w:rFonts w:ascii="Aptos" w:eastAsia="Aptos" w:hAnsi="Aptos" w:cs="Aptos"/>
        </w:rPr>
      </w:pPr>
      <w:r>
        <w:rPr>
          <w:rFonts w:ascii="Aptos" w:eastAsia="Aptos" w:hAnsi="Aptos" w:cs="Aptos"/>
        </w:rPr>
        <w:t>реализовать требуемый продукт, оценить его работу;</w:t>
      </w:r>
    </w:p>
    <w:p w14:paraId="2EE8298A" w14:textId="77777777" w:rsidR="00B209B8" w:rsidRDefault="002A09F3">
      <w:pPr>
        <w:numPr>
          <w:ilvl w:val="0"/>
          <w:numId w:val="26"/>
        </w:numPr>
        <w:spacing w:before="36" w:after="36"/>
        <w:rPr>
          <w:rFonts w:ascii="Aptos" w:eastAsia="Aptos" w:hAnsi="Aptos" w:cs="Aptos"/>
        </w:rPr>
      </w:pPr>
      <w:r>
        <w:rPr>
          <w:rFonts w:ascii="Aptos" w:eastAsia="Aptos" w:hAnsi="Aptos" w:cs="Aptos"/>
        </w:rPr>
        <w:t>определить практическую значимость решения, его ограничения и возможности дальнейшего развития в рамках университета;</w:t>
      </w:r>
    </w:p>
    <w:p w14:paraId="1B8E52AD" w14:textId="77777777" w:rsidR="00B209B8" w:rsidRDefault="002A09F3">
      <w:pPr>
        <w:spacing w:before="180" w:after="180"/>
        <w:rPr>
          <w:rFonts w:ascii="Aptos" w:eastAsia="Aptos" w:hAnsi="Aptos" w:cs="Aptos"/>
        </w:rPr>
      </w:pPr>
      <w:r>
        <w:rPr>
          <w:rFonts w:ascii="Aptos" w:eastAsia="Aptos" w:hAnsi="Aptos" w:cs="Aptos"/>
        </w:rPr>
        <w:t>Методологическую основу исследования составляют методы системного и сравнительного анализа, элементы моделирования бизнес-процессов, методы проектирования информационных систем, а также подходы к исследованию цифровой трансформации университетской среды. При рассмотрении прикладной части используются приемы структурного описания пользовательских сценариев, сущностей данных и состояний автоматизируемого процесса.</w:t>
      </w:r>
    </w:p>
    <w:p w14:paraId="3E066B86" w14:textId="77777777" w:rsidR="00B209B8" w:rsidRDefault="002A09F3">
      <w:pPr>
        <w:spacing w:before="180" w:after="180"/>
        <w:rPr>
          <w:rFonts w:ascii="Aptos" w:eastAsia="Aptos" w:hAnsi="Aptos" w:cs="Aptos"/>
        </w:rPr>
      </w:pPr>
      <w:r>
        <w:rPr>
          <w:rFonts w:ascii="Aptos" w:eastAsia="Aptos" w:hAnsi="Aptos" w:cs="Aptos"/>
        </w:rPr>
        <w:t>Научная новизна работы заключается в обосновании и программной реализации подхода к цифровой поддержке стадии инициации проектов в университете, при котором в едином управляемом контуре реализуется система "от и до" - начиная от подачи идеи индустриальным партнером, заканчивая запуском проекта.</w:t>
      </w:r>
    </w:p>
    <w:p w14:paraId="1757C1C2" w14:textId="77777777" w:rsidR="00B209B8" w:rsidRDefault="002A09F3">
      <w:pPr>
        <w:spacing w:before="180" w:after="180"/>
        <w:rPr>
          <w:rFonts w:ascii="Aptos" w:eastAsia="Aptos" w:hAnsi="Aptos" w:cs="Aptos"/>
        </w:rPr>
      </w:pPr>
      <w:r>
        <w:rPr>
          <w:rFonts w:ascii="Aptos" w:eastAsia="Aptos" w:hAnsi="Aptos" w:cs="Aptos"/>
        </w:rPr>
        <w:t>Практическая значимость исследования состоит в том, что разрабатываемая платформа ориентирована на решение конкретной организационной задачи нашего университета, связанной с упорядочиванием ранней обработки проектных предложений, и может использоваться как продукт для улучшения внутренних процессов взаимодействия с заказчиками. Дополнительная ценность решения определяется возможностью его адаптации к сходным условиям других университетов.</w:t>
      </w:r>
    </w:p>
    <w:p w14:paraId="1CB0ED4B" w14:textId="77777777" w:rsidR="00B209B8" w:rsidRDefault="002A09F3">
      <w:pPr>
        <w:spacing w:before="180" w:after="180"/>
        <w:rPr>
          <w:rFonts w:ascii="Aptos" w:eastAsia="Aptos" w:hAnsi="Aptos" w:cs="Aptos"/>
        </w:rPr>
      </w:pPr>
      <w:r>
        <w:rPr>
          <w:rFonts w:ascii="Aptos" w:eastAsia="Aptos" w:hAnsi="Aptos" w:cs="Aptos"/>
        </w:rPr>
        <w:t>Структура работы подчинена логике исследования и включает введение, три главы, заключение, библиографический список и приложения. В первой главе рассматриваются теоретические и организационные основания цифровой поддержки стадии инициации проектов, во второй главе обосновываются проектные решения и архитектура платформы, в третьей главе раскрываются подробности реализации, проверки работоспособности и практической применимости разработанного решения.</w:t>
      </w:r>
    </w:p>
    <w:p w14:paraId="4A8C2A77" w14:textId="77777777" w:rsidR="00B209B8" w:rsidRDefault="00B209B8">
      <w:pPr>
        <w:pStyle w:val="1"/>
        <w:sectPr w:rsidR="00B209B8">
          <w:footnotePr>
            <w:numRestart w:val="eachSect"/>
          </w:footnotePr>
          <w:pgSz w:w="12240" w:h="15840"/>
          <w:pgMar w:top="1440" w:right="1440" w:bottom="1440" w:left="1440" w:header="720" w:footer="720" w:gutter="0"/>
          <w:cols w:space="720"/>
        </w:sectPr>
      </w:pPr>
      <w:bookmarkStart w:id="3" w:name="X6ec76500e096124e3539e41e409f7ff2a5d0bfb"/>
      <w:bookmarkStart w:id="4" w:name="_Toc226251460"/>
      <w:bookmarkStart w:id="5" w:name="X5dfd7bbb68ea2b044e208c124bf1e9ff708bbb3"/>
      <w:bookmarkStart w:id="6" w:name="_Toc226251461"/>
      <w:bookmarkStart w:id="7" w:name="X100ce17e34825861722f117b41ff60ab46b2838"/>
      <w:bookmarkStart w:id="8" w:name="_Toc226251462"/>
      <w:bookmarkEnd w:id="3"/>
      <w:bookmarkEnd w:id="4"/>
      <w:bookmarkEnd w:id="5"/>
      <w:bookmarkEnd w:id="6"/>
      <w:bookmarkEnd w:id="7"/>
      <w:bookmarkEnd w:id="8"/>
    </w:p>
    <w:p w14:paraId="7E45F75C" w14:textId="77777777" w:rsidR="00B209B8" w:rsidRDefault="002A09F3">
      <w:pPr>
        <w:pStyle w:val="1"/>
      </w:pPr>
      <w:bookmarkStart w:id="9" w:name="_Toc230426979"/>
      <w:r>
        <w:lastRenderedPageBreak/>
        <w:t>ГЛАВА 1. АНАЛИТИЧЕСКИЕ ОСНОВЫ ЦИФРОВИЗАЦИИ ВЗАИМОДЕЙСТВИЯ ЗАКАЗЧИКОВ С УНИВЕРСИТЕТОМ ПРИ ИНИЦИАЦИИ ПРОЕКТОВ</w:t>
      </w:r>
      <w:bookmarkEnd w:id="9"/>
    </w:p>
    <w:p w14:paraId="5D2F8659" w14:textId="77777777" w:rsidR="00B209B8" w:rsidRDefault="002A09F3">
      <w:pPr>
        <w:spacing w:before="180" w:after="180"/>
        <w:rPr>
          <w:rFonts w:ascii="Aptos" w:eastAsia="Aptos" w:hAnsi="Aptos" w:cs="Aptos"/>
        </w:rPr>
      </w:pPr>
      <w:r>
        <w:rPr>
          <w:rFonts w:ascii="Aptos" w:eastAsia="Aptos" w:hAnsi="Aptos" w:cs="Aptos"/>
        </w:rPr>
        <w:t>Современный университет все чаще выступает участником сложной сети взаимодействий с индустриальными компаниями, государственными структурами, общественными организациями и иными внешними заказчиками, заинтересованными в совместной разработке проектов, исследований и прикладных решений. При этом качество первой реакции университета на поступающее предложение определяется не только содержанием самого запроса, но и тем, насколько быстро и обоснованно он может быть переведен в управляемую внутреннюю процедуру рассмотрения.</w:t>
      </w:r>
    </w:p>
    <w:p w14:paraId="0341DCFA" w14:textId="77777777" w:rsidR="00B209B8" w:rsidRDefault="002A09F3">
      <w:pPr>
        <w:spacing w:before="180" w:after="180"/>
        <w:rPr>
          <w:rFonts w:ascii="Aptos" w:eastAsia="Aptos" w:hAnsi="Aptos" w:cs="Aptos"/>
        </w:rPr>
      </w:pPr>
      <w:r>
        <w:rPr>
          <w:rFonts w:ascii="Aptos" w:eastAsia="Aptos" w:hAnsi="Aptos" w:cs="Aptos"/>
        </w:rPr>
        <w:t>В рамках настоящей работы акцент сделан на внутреннем контуре обработки уже полученного обращения, поскольку именно этот участок процесса в наибольшей степени зависит от согласованности действий сотрудников университета и от наличия специализированных цифровых инструментов. Такой подход соответствует текущим задачам нашей организации, но вместе с тем сохраняет возможность дальнейшего тиражирования выработанных решений в другие университеты, если их процессы инициации проектов устроены сходным образом.</w:t>
      </w:r>
    </w:p>
    <w:p w14:paraId="10C711BB" w14:textId="77777777" w:rsidR="00B209B8" w:rsidRDefault="002A09F3">
      <w:pPr>
        <w:spacing w:before="180" w:after="180"/>
        <w:rPr>
          <w:rFonts w:ascii="Aptos" w:eastAsia="Aptos" w:hAnsi="Aptos" w:cs="Aptos"/>
        </w:rPr>
      </w:pPr>
      <w:r>
        <w:rPr>
          <w:rFonts w:ascii="Aptos" w:eastAsia="Aptos" w:hAnsi="Aptos" w:cs="Aptos"/>
        </w:rPr>
        <w:t>Цифровизация взаимодействия заказчиков с университетом в проектной деятельности в текущий момент представляет собой множественные разобщенные сообщения, почтовые письма и обсуждения в том числе в личной переписках в различных мессенджерах/социальных сетях. Индустриальные партнеры чаще всего могут попадать не на профильных специалистов, а на тех, кто «работает» только как специалисты по связям с другими организациями. Такое устройство создает множество проблем, когда большое количество идей и условий может пропадать, упускаться и просто не доходить до того, кто может принимать решения. Последовательное формирование единой информационной среды, в которой фиксируются обращения от заказчиков и, в дальнейшем, обрабатываются и передаются сразу ответственным сотрудникам, может ускорить результаты рассмотрения и дальнейшие коммуникации. Для ранней стадии проекта это особенно важно, поскольку именно здесь исходный замысел еще не преобразован в формализованный проект, не сглажены все юридические и иные условия, и потому требует одновременно содержательной интерпретации и организационной координации.</w:t>
      </w:r>
    </w:p>
    <w:p w14:paraId="3FFFDB2C" w14:textId="77777777" w:rsidR="00B209B8" w:rsidRDefault="002A09F3">
      <w:pPr>
        <w:spacing w:before="180" w:after="180"/>
        <w:rPr>
          <w:rFonts w:ascii="Aptos" w:eastAsia="Aptos" w:hAnsi="Aptos" w:cs="Aptos"/>
        </w:rPr>
      </w:pPr>
      <w:r>
        <w:rPr>
          <w:rFonts w:ascii="Aptos" w:eastAsia="Aptos" w:hAnsi="Aptos" w:cs="Aptos"/>
          <w:noProof/>
        </w:rPr>
        <w:lastRenderedPageBreak/>
        <w:drawing>
          <wp:inline distT="0" distB="0" distL="0" distR="0" wp14:anchorId="30F3B8BD" wp14:editId="1102F957">
            <wp:extent cx="5943600" cy="1981200"/>
            <wp:effectExtent l="0" t="0" r="0" b="0"/>
            <wp:docPr id="177951468" name="Drawing 17795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1468" name=""/>
                    <pic:cNvPicPr/>
                  </pic:nvPicPr>
                  <pic:blipFill>
                    <a:blip r:embed="rId7"/>
                    <a:stretch>
                      <a:fillRect/>
                    </a:stretch>
                  </pic:blipFill>
                  <pic:spPr>
                    <a:xfrm>
                      <a:off x="0" y="0"/>
                      <a:ext cx="5943600" cy="1981200"/>
                    </a:xfrm>
                    <a:prstGeom prst="rect">
                      <a:avLst/>
                    </a:prstGeom>
                  </pic:spPr>
                </pic:pic>
              </a:graphicData>
            </a:graphic>
          </wp:inline>
        </w:drawing>
      </w:r>
    </w:p>
    <w:p w14:paraId="55880638" w14:textId="77777777" w:rsidR="00B209B8" w:rsidRDefault="002A09F3">
      <w:pPr>
        <w:spacing w:before="180" w:after="180"/>
        <w:rPr>
          <w:rFonts w:ascii="Aptos" w:eastAsia="Aptos" w:hAnsi="Aptos" w:cs="Aptos"/>
        </w:rPr>
      </w:pPr>
      <w:r>
        <w:rPr>
          <w:rFonts w:ascii="Aptos" w:eastAsia="Aptos" w:hAnsi="Aptos" w:cs="Aptos"/>
        </w:rPr>
        <w:t>Рисунок 1. Блок-схема текущей реализации инициаций проекта в ВУЗе</w:t>
      </w:r>
    </w:p>
    <w:p w14:paraId="5E636703" w14:textId="77777777" w:rsidR="00B209B8" w:rsidRDefault="002A09F3">
      <w:pPr>
        <w:spacing w:before="160" w:after="80"/>
        <w:rPr>
          <w:rFonts w:ascii="Aptos Display" w:eastAsia="Aptos Display" w:hAnsi="Aptos Display" w:cs="Aptos Display"/>
          <w:color w:val="0F4761"/>
          <w:sz w:val="32"/>
        </w:rPr>
      </w:pPr>
      <w:r>
        <w:rPr>
          <w:rFonts w:ascii="Aptos Display" w:eastAsia="Aptos Display" w:hAnsi="Aptos Display" w:cs="Aptos Display"/>
          <w:color w:val="0F4761"/>
          <w:sz w:val="32"/>
        </w:rPr>
        <w:t>1.1. Анализ научных работ о взаимодействиях между университетами и заказчиками в проектной деятельности</w:t>
      </w:r>
    </w:p>
    <w:p w14:paraId="2673C1AC" w14:textId="77777777" w:rsidR="00B209B8" w:rsidRDefault="002A09F3">
      <w:pPr>
        <w:spacing w:before="180" w:after="180"/>
        <w:rPr>
          <w:rFonts w:ascii="Aptos" w:eastAsia="Aptos" w:hAnsi="Aptos" w:cs="Aptos"/>
        </w:rPr>
      </w:pPr>
      <w:r>
        <w:rPr>
          <w:rFonts w:ascii="Aptos" w:eastAsia="Aptos" w:hAnsi="Aptos" w:cs="Aptos"/>
        </w:rPr>
        <w:t>Рассмотрим работу с запуском проектов с учётом имеющихся источников. В новостных справках ТюмГУ можно заметить, что в 2019-2022 университет преимущественно взаимодействовал с партнерами из нефтегазового сектора[сюда вставить источник]. Связь с партнерами была организована достаточно давно - в первую очередь по причине её давности, так как университет давно проводил такое партнерство. В отрезке 2023-2025 университет резко нарастил большое количество партнеров, с которыми взаимодействует уже не только в нефтегазовой отрасли, но и в сфере ИИ, а также, что нам важно, реализует общие проекты, в которых участвуют в том числе и студенты бакалавриата и магистратуры[сюда вставить источник].Появились первые реальные кейсы с ИИ, реализуемые в ТюмГУ[вставить источник]. Не последнюю роль в этом сыграл масштабный запуск университетской программы «Управление проектами» (доступна по ссылке)[вставить ссылку на ссылку https://www.utmn.ru/bmm/case/25-26/][вставить ссылку на запуск управления проектами][здесь скриншот сайта с проектами]</w:t>
      </w:r>
    </w:p>
    <w:p w14:paraId="41D9A652" w14:textId="77777777" w:rsidR="00B209B8" w:rsidRDefault="002A09F3">
      <w:pPr>
        <w:spacing w:before="180" w:after="180"/>
      </w:pPr>
      <w:r>
        <w:rPr>
          <w:rFonts w:ascii="Aptos" w:eastAsia="Aptos" w:hAnsi="Aptos" w:cs="Aptos"/>
        </w:rPr>
        <w:t>В других работах, посвященных взаимодействию университета с индустрией, подчеркивается, что современная кооперация уже не сводится к разовым контактам или эпизодическим договорам, а приобретает признаки устойчивой системы совместного создания знаний, технологий и образовательных практик. К таким работам можно отнести публикацию ОЭСР (организации экономического сотрудничества и развития) «Университетско-индустриальная коллаборация»[вставить источник]. В ней рассматриваются</w:t>
      </w:r>
      <w:r>
        <w:t xml:space="preserve"> механизмы обмена знаниями между университетами и бизнесом, включая различные цифровые платформы, посреднические организации, организацию «open calls» (открытых созвонов) и краудсорсинг как инструменты, которые упрощают поиск партнеров и запуск совместных проектов. В этой работе рассказывается не про один конкретный продукт, а про архитектуру взаимодействия, которая в международном опыте приобрела и использовала вышеописанные методы.</w:t>
      </w:r>
    </w:p>
    <w:p w14:paraId="55CE7287" w14:textId="77777777" w:rsidR="00B209B8" w:rsidRDefault="002A09F3">
      <w:r>
        <w:lastRenderedPageBreak/>
        <w:t>В работе «Взаимодействие вузов с индустриальными предприятиями» (РЭУ им. Плеханова)[ссылка] разбирается выявление и систематизация ключевых моделей взаимодействия российских университетов с индустриальными партнерами. В частности, там подчеркивается роль вузов как агентов технологического и инновационного развития, чья деятельность ориентирована не только на подготовку кадров, но и на участие в решении прикладных задач промышленности. Авторы рассматривают несколько типов взаимодействия: совместные научные и образовательные программы, целевое обучение, договорные практики, базовые кафедры совместно с предприятиями, а также проекты в рамках технологического предпринимательства. Отдельное внимание уделено проблемам, ограничивающим эффективность таких связей: отсутствие унифицированной системы правил взаимодействия на государственном уровне, «бумажный» документооборот, слабая координация междууровневых партнерств (вуз–предприятие–государство). В исследовании также обсуждаются иностранные модели (тройная спираль Г. Ицковица, модель предпринимательского университета Б. Кларка, «винтовая» модель и адаптивная модель УБС) и предлагается их адаптированная версия для российских условий. В заключительной части подчеркивается необходимость институционализации механизма взаимодействия: создание единой регламентирующей системы, расширение совместных НИОКР‑проектов, развитие инфраструктуры трансфера технологий и интеграция индустриальных партнеров в стратегическое планирование вузов.</w:t>
      </w:r>
    </w:p>
    <w:p w14:paraId="6C0C7D9B" w14:textId="77777777" w:rsidR="00B209B8" w:rsidRDefault="002A09F3">
      <w:r>
        <w:t>Обратимся также к другому источнику. «Сборник эффективных практик взаимодействия вузов и ИТ-бизнеса(2025)» от АНО «Цифровая экономика»[ссылка] посвящен взаимодействию вузов и ИТ‑компаний и подготовлен на базе обобщения лучших практик 19 российских университетов. В сборнике описаны кейсы, в которых ИТ‑компании выступают не только как заказчики работ, но и как полноценные со‑разработчики образовательных программ и инфраструктуры. Примерами являются:</w:t>
      </w:r>
    </w:p>
    <w:p w14:paraId="363B97F9" w14:textId="77777777" w:rsidR="00B209B8" w:rsidRDefault="002A09F3">
      <w:pPr>
        <w:numPr>
          <w:ilvl w:val="0"/>
          <w:numId w:val="28"/>
        </w:numPr>
      </w:pPr>
      <w:r>
        <w:t>создание цифровых кафедр на базе индустриальных партнеров с совместным управлением учебными планами и лабораториями;</w:t>
      </w:r>
    </w:p>
    <w:p w14:paraId="2741FE41" w14:textId="77777777" w:rsidR="00B209B8" w:rsidRDefault="002A09F3">
      <w:pPr>
        <w:numPr>
          <w:ilvl w:val="0"/>
          <w:numId w:val="29"/>
        </w:numPr>
      </w:pPr>
      <w:r>
        <w:t>внедрение онлайн‑платформ для стажировок и практик, обеспечивающих прозрачное управление заявками, отбором студентов и оценкой результатов;</w:t>
      </w:r>
    </w:p>
    <w:p w14:paraId="29C3D271" w14:textId="77777777" w:rsidR="00B209B8" w:rsidRDefault="002A09F3">
      <w:pPr>
        <w:numPr>
          <w:ilvl w:val="0"/>
          <w:numId w:val="30"/>
        </w:numPr>
      </w:pPr>
      <w:r>
        <w:t>организация хакатонов и интенсивных проектных недель совместно с банками и крупными технологическими компаниями, где студенты решают реальные бизнес‑задачи заказчиков.</w:t>
      </w:r>
    </w:p>
    <w:p w14:paraId="586CEFD2" w14:textId="77777777" w:rsidR="00B209B8" w:rsidRDefault="002A09F3">
      <w:r>
        <w:t>Авторы подчеркивают, что выбранные 32 кейса отражают не только успешные проекты, но и устойчивые модели, которые могут быть масштабированы и реплицированы в других вузах. В заключительной части сборника делается акцент на том, что такие практики способствуют формированию единого «языка» взаимодействия вузов и бизнеса, повышают мотивацию студентов и позволяют индустриальным партнерам заранее выявлять и развивать необходимые компетенции в кадровом потоке.</w:t>
      </w:r>
    </w:p>
    <w:tbl>
      <w:tblPr>
        <w:tblStyle w:val="af0"/>
        <w:tblW w:w="0" w:type="auto"/>
        <w:tblLayout w:type="fixed"/>
        <w:tblLook w:val="04A0" w:firstRow="1" w:lastRow="0" w:firstColumn="1" w:lastColumn="0" w:noHBand="0" w:noVBand="1"/>
      </w:tblPr>
      <w:tblGrid>
        <w:gridCol w:w="1550"/>
        <w:gridCol w:w="2640"/>
        <w:gridCol w:w="5190"/>
      </w:tblGrid>
      <w:tr w:rsidR="00B64A03" w14:paraId="4470BE26" w14:textId="77777777">
        <w:tc>
          <w:tcPr>
            <w:tcW w:w="155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6394306" w14:textId="77777777" w:rsidR="00B64A03" w:rsidRDefault="002A09F3">
            <w:pPr>
              <w:spacing w:after="0"/>
              <w:rPr>
                <w:rFonts w:ascii="Aptos" w:eastAsia="Aptos" w:hAnsi="Aptos" w:cs="Aptos"/>
              </w:rPr>
            </w:pPr>
            <w:r>
              <w:rPr>
                <w:rFonts w:ascii="Arial" w:eastAsia="Arial" w:hAnsi="Arial" w:cs="Arial"/>
                <w:b/>
              </w:rPr>
              <w:t>Источник</w:t>
            </w:r>
          </w:p>
        </w:tc>
        <w:tc>
          <w:tcPr>
            <w:tcW w:w="2640" w:type="dxa"/>
            <w:tcBorders>
              <w:top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DCD210F" w14:textId="77777777" w:rsidR="00B64A03" w:rsidRDefault="002A09F3">
            <w:pPr>
              <w:spacing w:after="0"/>
              <w:rPr>
                <w:rFonts w:ascii="Aptos" w:eastAsia="Aptos" w:hAnsi="Aptos" w:cs="Aptos"/>
              </w:rPr>
            </w:pPr>
            <w:r>
              <w:rPr>
                <w:rFonts w:ascii="Arial" w:eastAsia="Arial" w:hAnsi="Arial" w:cs="Arial"/>
                <w:b/>
                <w:color w:val="000000"/>
              </w:rPr>
              <w:t>Что изучает</w:t>
            </w:r>
          </w:p>
        </w:tc>
        <w:tc>
          <w:tcPr>
            <w:tcW w:w="5190" w:type="dxa"/>
            <w:tcBorders>
              <w:top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17A1B2A" w14:textId="77777777" w:rsidR="00B64A03" w:rsidRDefault="002A09F3">
            <w:pPr>
              <w:spacing w:after="0"/>
              <w:rPr>
                <w:rFonts w:ascii="Aptos" w:eastAsia="Aptos" w:hAnsi="Aptos" w:cs="Aptos"/>
              </w:rPr>
            </w:pPr>
            <w:r>
              <w:rPr>
                <w:rFonts w:ascii="Arial" w:eastAsia="Arial" w:hAnsi="Arial" w:cs="Arial"/>
                <w:b/>
                <w:color w:val="000000"/>
              </w:rPr>
              <w:t>Чем полезен для платформенного кейса</w:t>
            </w:r>
          </w:p>
        </w:tc>
      </w:tr>
      <w:tr w:rsidR="00B64A03" w14:paraId="1E1935C8" w14:textId="77777777">
        <w:trPr>
          <w:trHeight w:val="3933"/>
        </w:trPr>
        <w:tc>
          <w:tcPr>
            <w:tcW w:w="1550" w:type="dxa"/>
            <w:tcBorders>
              <w:left w:val="single" w:sz="8" w:space="0" w:color="DDDDDD"/>
              <w:bottom w:val="single" w:sz="8" w:space="0" w:color="DDDDDD"/>
              <w:right w:val="single" w:sz="8" w:space="0" w:color="DDDDDD"/>
            </w:tcBorders>
            <w:tcMar>
              <w:top w:w="120" w:type="dxa"/>
              <w:left w:w="120" w:type="dxa"/>
              <w:bottom w:w="120" w:type="dxa"/>
              <w:right w:w="120" w:type="dxa"/>
            </w:tcMar>
          </w:tcPr>
          <w:p w14:paraId="343B91DF" w14:textId="77777777" w:rsidR="00B64A03" w:rsidRPr="00516924" w:rsidRDefault="002A09F3">
            <w:pPr>
              <w:spacing w:after="0"/>
              <w:rPr>
                <w:rFonts w:ascii="Aptos" w:eastAsia="Aptos" w:hAnsi="Aptos" w:cs="Aptos"/>
                <w:lang w:val="en-US"/>
              </w:rPr>
            </w:pPr>
            <w:r w:rsidRPr="00516924">
              <w:rPr>
                <w:rFonts w:ascii="Arial" w:eastAsia="Arial" w:hAnsi="Arial" w:cs="Arial"/>
                <w:lang w:val="en-US"/>
              </w:rPr>
              <w:lastRenderedPageBreak/>
              <w:t>OECD, </w:t>
            </w:r>
            <w:r w:rsidRPr="00516924">
              <w:rPr>
                <w:rFonts w:ascii="Arial" w:eastAsia="Arial" w:hAnsi="Arial" w:cs="Arial"/>
                <w:i/>
                <w:lang w:val="en-US"/>
              </w:rPr>
              <w:t>University-Industry Collaboration: New Evidence and Policy Options</w:t>
            </w:r>
            <w:r w:rsidRPr="00516924">
              <w:rPr>
                <w:rFonts w:ascii="Arial" w:eastAsia="Arial" w:hAnsi="Arial" w:cs="Arial"/>
                <w:lang w:val="en-US"/>
              </w:rPr>
              <w:t> (2019) </w:t>
            </w:r>
            <w:hyperlink r:id="rId8" w:history="1">
              <w:r w:rsidRPr="00516924">
                <w:rPr>
                  <w:rStyle w:val="ac"/>
                  <w:rFonts w:ascii="Arial" w:eastAsia="Arial" w:hAnsi="Arial" w:cs="Arial"/>
                  <w:color w:val="0000FF"/>
                  <w:lang w:val="en-US"/>
                </w:rPr>
                <w:t>interregeurope</w:t>
              </w:r>
            </w:hyperlink>
          </w:p>
        </w:tc>
        <w:tc>
          <w:tcPr>
            <w:tcW w:w="2640" w:type="dxa"/>
            <w:tcBorders>
              <w:bottom w:val="single" w:sz="8" w:space="0" w:color="DDDDDD"/>
              <w:right w:val="single" w:sz="8" w:space="0" w:color="DDDDDD"/>
            </w:tcBorders>
            <w:tcMar>
              <w:top w:w="120" w:type="dxa"/>
              <w:left w:w="120" w:type="dxa"/>
              <w:bottom w:w="120" w:type="dxa"/>
              <w:right w:w="120" w:type="dxa"/>
            </w:tcMar>
          </w:tcPr>
          <w:p w14:paraId="6C57E3B0" w14:textId="77777777" w:rsidR="00B64A03" w:rsidRDefault="002A09F3">
            <w:pPr>
              <w:spacing w:after="0"/>
              <w:rPr>
                <w:rFonts w:ascii="Aptos" w:eastAsia="Aptos" w:hAnsi="Aptos" w:cs="Aptos"/>
              </w:rPr>
            </w:pPr>
            <w:r>
              <w:rPr>
                <w:rFonts w:ascii="Arial" w:eastAsia="Arial" w:hAnsi="Arial" w:cs="Arial"/>
              </w:rPr>
              <w:t>В докладе анализируются современные формы взаимодействия университетов и индустрии, а также инструменты трансфера знаний, включая механизмы совместного создания знаний, посреднические организации и цифровые каналы кооперации </w:t>
            </w:r>
            <w:hyperlink r:id="rId9" w:history="1">
              <w:r>
                <w:rPr>
                  <w:rStyle w:val="ac"/>
                  <w:rFonts w:ascii="Arial" w:eastAsia="Arial" w:hAnsi="Arial" w:cs="Arial"/>
                  <w:color w:val="0000FF"/>
                </w:rPr>
                <w:t>interregeurope</w:t>
              </w:r>
            </w:hyperlink>
            <w:r>
              <w:rPr>
                <w:rFonts w:ascii="Arial" w:eastAsia="Arial" w:hAnsi="Arial" w:cs="Arial"/>
              </w:rPr>
              <w:t>.</w:t>
            </w:r>
          </w:p>
        </w:tc>
        <w:tc>
          <w:tcPr>
            <w:tcW w:w="5190" w:type="dxa"/>
            <w:tcBorders>
              <w:bottom w:val="single" w:sz="8" w:space="0" w:color="DDDDDD"/>
              <w:right w:val="single" w:sz="8" w:space="0" w:color="DDDDDD"/>
            </w:tcBorders>
            <w:tcMar>
              <w:top w:w="120" w:type="dxa"/>
              <w:left w:w="120" w:type="dxa"/>
              <w:bottom w:w="120" w:type="dxa"/>
              <w:right w:w="120" w:type="dxa"/>
            </w:tcMar>
          </w:tcPr>
          <w:p w14:paraId="02C6C250" w14:textId="77777777" w:rsidR="00B64A03" w:rsidRDefault="002A09F3">
            <w:pPr>
              <w:spacing w:after="0"/>
              <w:rPr>
                <w:rFonts w:ascii="Aptos" w:eastAsia="Aptos" w:hAnsi="Aptos" w:cs="Aptos"/>
              </w:rPr>
            </w:pPr>
            <w:r>
              <w:rPr>
                <w:rFonts w:ascii="Arial" w:eastAsia="Arial" w:hAnsi="Arial" w:cs="Arial"/>
              </w:rPr>
              <w:t>Источник позволяет теоретически обосновать платформенный подход как средство сокращения транзакционных издержек, ускорения поиска партнеров и повышения связности участников инновационного процесса </w:t>
            </w:r>
            <w:hyperlink r:id="rId10" w:history="1">
              <w:r>
                <w:rPr>
                  <w:rStyle w:val="ac"/>
                  <w:rFonts w:ascii="Arial" w:eastAsia="Arial" w:hAnsi="Arial" w:cs="Arial"/>
                  <w:color w:val="0000FF"/>
                </w:rPr>
                <w:t>interregeurope</w:t>
              </w:r>
            </w:hyperlink>
            <w:r>
              <w:rPr>
                <w:rFonts w:ascii="Arial" w:eastAsia="Arial" w:hAnsi="Arial" w:cs="Arial"/>
              </w:rPr>
              <w:t>.</w:t>
            </w:r>
          </w:p>
        </w:tc>
      </w:tr>
      <w:tr w:rsidR="00B64A03" w14:paraId="79ECBD24" w14:textId="77777777">
        <w:tc>
          <w:tcPr>
            <w:tcW w:w="1550" w:type="dxa"/>
            <w:tcBorders>
              <w:left w:val="single" w:sz="8" w:space="0" w:color="DDDDDD"/>
              <w:bottom w:val="single" w:sz="8" w:space="0" w:color="DDDDDD"/>
              <w:right w:val="single" w:sz="8" w:space="0" w:color="DDDDDD"/>
            </w:tcBorders>
            <w:tcMar>
              <w:top w:w="120" w:type="dxa"/>
              <w:left w:w="120" w:type="dxa"/>
              <w:bottom w:w="120" w:type="dxa"/>
              <w:right w:w="120" w:type="dxa"/>
            </w:tcMar>
          </w:tcPr>
          <w:p w14:paraId="4830EE68" w14:textId="77777777" w:rsidR="00B64A03" w:rsidRDefault="002A09F3">
            <w:pPr>
              <w:spacing w:after="0"/>
              <w:rPr>
                <w:rFonts w:ascii="Aptos" w:eastAsia="Aptos" w:hAnsi="Aptos" w:cs="Aptos"/>
              </w:rPr>
            </w:pPr>
            <w:r>
              <w:rPr>
                <w:rFonts w:ascii="Arial" w:eastAsia="Arial" w:hAnsi="Arial" w:cs="Arial"/>
              </w:rPr>
              <w:t>«Взаимодействие вузов с индустриальными предприятиями» (РЭУ им. Г.В. Плеханова) </w:t>
            </w:r>
            <w:hyperlink r:id="rId11" w:history="1">
              <w:r>
                <w:rPr>
                  <w:rStyle w:val="ac"/>
                  <w:rFonts w:ascii="Arial" w:eastAsia="Arial" w:hAnsi="Arial" w:cs="Arial"/>
                  <w:color w:val="0000FF"/>
                </w:rPr>
                <w:t>rea</w:t>
              </w:r>
            </w:hyperlink>
          </w:p>
        </w:tc>
        <w:tc>
          <w:tcPr>
            <w:tcW w:w="2640" w:type="dxa"/>
            <w:tcBorders>
              <w:bottom w:val="single" w:sz="8" w:space="0" w:color="DDDDDD"/>
              <w:right w:val="single" w:sz="8" w:space="0" w:color="DDDDDD"/>
            </w:tcBorders>
            <w:tcMar>
              <w:top w:w="120" w:type="dxa"/>
              <w:left w:w="120" w:type="dxa"/>
              <w:bottom w:w="120" w:type="dxa"/>
              <w:right w:w="120" w:type="dxa"/>
            </w:tcMar>
          </w:tcPr>
          <w:p w14:paraId="1836F7D5" w14:textId="77777777" w:rsidR="00B64A03" w:rsidRDefault="002A09F3">
            <w:pPr>
              <w:spacing w:after="0"/>
              <w:rPr>
                <w:rFonts w:ascii="Aptos" w:eastAsia="Aptos" w:hAnsi="Aptos" w:cs="Aptos"/>
              </w:rPr>
            </w:pPr>
            <w:r>
              <w:rPr>
                <w:rFonts w:ascii="Arial" w:eastAsia="Arial" w:hAnsi="Arial" w:cs="Arial"/>
              </w:rPr>
              <w:t>Материал посвящен анализу организационных моделей и форм взаимодействия образовательных организаций с промышленными предприятиями, включая базовые кафедры, совместные образовательные программы, НИОКР и практики индустриального участия в подготовке кадров </w:t>
            </w:r>
            <w:hyperlink r:id="rId12" w:history="1">
              <w:r>
                <w:rPr>
                  <w:rStyle w:val="ac"/>
                  <w:rFonts w:ascii="Arial" w:eastAsia="Arial" w:hAnsi="Arial" w:cs="Arial"/>
                  <w:color w:val="0000FF"/>
                </w:rPr>
                <w:t>rea</w:t>
              </w:r>
            </w:hyperlink>
            <w:r>
              <w:rPr>
                <w:rFonts w:ascii="Arial" w:eastAsia="Arial" w:hAnsi="Arial" w:cs="Arial"/>
              </w:rPr>
              <w:t>.</w:t>
            </w:r>
          </w:p>
        </w:tc>
        <w:tc>
          <w:tcPr>
            <w:tcW w:w="5190" w:type="dxa"/>
            <w:tcBorders>
              <w:bottom w:val="single" w:sz="8" w:space="0" w:color="DDDDDD"/>
              <w:right w:val="single" w:sz="8" w:space="0" w:color="DDDDDD"/>
            </w:tcBorders>
            <w:tcMar>
              <w:top w:w="120" w:type="dxa"/>
              <w:left w:w="120" w:type="dxa"/>
              <w:bottom w:w="120" w:type="dxa"/>
              <w:right w:w="120" w:type="dxa"/>
            </w:tcMar>
          </w:tcPr>
          <w:p w14:paraId="0FCE5703" w14:textId="77777777" w:rsidR="00B64A03" w:rsidRDefault="002A09F3">
            <w:pPr>
              <w:spacing w:after="0"/>
              <w:rPr>
                <w:rFonts w:ascii="Aptos" w:eastAsia="Aptos" w:hAnsi="Aptos" w:cs="Aptos"/>
              </w:rPr>
            </w:pPr>
            <w:r>
              <w:rPr>
                <w:rFonts w:ascii="Arial" w:eastAsia="Arial" w:hAnsi="Arial" w:cs="Arial"/>
              </w:rPr>
              <w:t>Источник полезен для раскрытия того, какие именно процессы могут быть формализованы и переведены в цифровую платформенную среду: согласование проектов, маршрутизация запросов, сопровождение совместных инициатив и управление партнерским контуром </w:t>
            </w:r>
            <w:hyperlink r:id="rId13" w:history="1">
              <w:r>
                <w:rPr>
                  <w:rStyle w:val="ac"/>
                  <w:rFonts w:ascii="Arial" w:eastAsia="Arial" w:hAnsi="Arial" w:cs="Arial"/>
                  <w:color w:val="0000FF"/>
                </w:rPr>
                <w:t>rea</w:t>
              </w:r>
            </w:hyperlink>
            <w:r>
              <w:rPr>
                <w:rFonts w:ascii="Arial" w:eastAsia="Arial" w:hAnsi="Arial" w:cs="Arial"/>
              </w:rPr>
              <w:t>.</w:t>
            </w:r>
          </w:p>
        </w:tc>
      </w:tr>
      <w:tr w:rsidR="00B64A03" w14:paraId="66547432" w14:textId="77777777">
        <w:tc>
          <w:tcPr>
            <w:tcW w:w="1550" w:type="dxa"/>
            <w:tcBorders>
              <w:left w:val="single" w:sz="8" w:space="0" w:color="DDDDDD"/>
              <w:bottom w:val="single" w:sz="8" w:space="0" w:color="DDDDDD"/>
              <w:right w:val="single" w:sz="8" w:space="0" w:color="DDDDDD"/>
            </w:tcBorders>
            <w:tcMar>
              <w:top w:w="120" w:type="dxa"/>
              <w:left w:w="120" w:type="dxa"/>
              <w:bottom w:w="120" w:type="dxa"/>
              <w:right w:w="120" w:type="dxa"/>
            </w:tcMar>
          </w:tcPr>
          <w:p w14:paraId="0A2110FB" w14:textId="77777777" w:rsidR="00B64A03" w:rsidRDefault="002A09F3">
            <w:pPr>
              <w:spacing w:after="0"/>
              <w:rPr>
                <w:rFonts w:ascii="Aptos" w:eastAsia="Aptos" w:hAnsi="Aptos" w:cs="Aptos"/>
              </w:rPr>
            </w:pPr>
            <w:r>
              <w:rPr>
                <w:rFonts w:ascii="Arial" w:eastAsia="Arial" w:hAnsi="Arial" w:cs="Arial"/>
              </w:rPr>
              <w:t>АНО «Цифровая экономика», </w:t>
            </w:r>
            <w:r>
              <w:rPr>
                <w:rFonts w:ascii="Arial" w:eastAsia="Arial" w:hAnsi="Arial" w:cs="Arial"/>
                <w:i/>
              </w:rPr>
              <w:t>Сборник эффективных практик взаимодействия вузов и ИТ-</w:t>
            </w:r>
            <w:r>
              <w:rPr>
                <w:rFonts w:ascii="Arial" w:eastAsia="Arial" w:hAnsi="Arial" w:cs="Arial"/>
                <w:i/>
              </w:rPr>
              <w:lastRenderedPageBreak/>
              <w:t>бизнеса</w:t>
            </w:r>
            <w:r>
              <w:rPr>
                <w:rFonts w:ascii="Arial" w:eastAsia="Arial" w:hAnsi="Arial" w:cs="Arial"/>
              </w:rPr>
              <w:t> </w:t>
            </w:r>
            <w:hyperlink r:id="rId14" w:history="1">
              <w:r>
                <w:rPr>
                  <w:rStyle w:val="ac"/>
                  <w:rFonts w:ascii="Arial" w:eastAsia="Arial" w:hAnsi="Arial" w:cs="Arial"/>
                  <w:color w:val="0000FF"/>
                </w:rPr>
                <w:t>cabar</w:t>
              </w:r>
            </w:hyperlink>
          </w:p>
        </w:tc>
        <w:tc>
          <w:tcPr>
            <w:tcW w:w="2640" w:type="dxa"/>
            <w:tcBorders>
              <w:bottom w:val="single" w:sz="8" w:space="0" w:color="DDDDDD"/>
              <w:right w:val="single" w:sz="8" w:space="0" w:color="DDDDDD"/>
            </w:tcBorders>
            <w:tcMar>
              <w:top w:w="120" w:type="dxa"/>
              <w:left w:w="120" w:type="dxa"/>
              <w:bottom w:w="120" w:type="dxa"/>
              <w:right w:w="120" w:type="dxa"/>
            </w:tcMar>
          </w:tcPr>
          <w:p w14:paraId="31952D40" w14:textId="77777777" w:rsidR="00B64A03" w:rsidRDefault="002A09F3">
            <w:pPr>
              <w:spacing w:after="0"/>
              <w:rPr>
                <w:rFonts w:ascii="Aptos" w:eastAsia="Aptos" w:hAnsi="Aptos" w:cs="Aptos"/>
              </w:rPr>
            </w:pPr>
            <w:r>
              <w:rPr>
                <w:rFonts w:ascii="Arial" w:eastAsia="Arial" w:hAnsi="Arial" w:cs="Arial"/>
              </w:rPr>
              <w:lastRenderedPageBreak/>
              <w:t xml:space="preserve">Материал посвящен практикам партнерства вузов и ИТ-компаний, включая цифровые кафедры, онлайн-платформы стажировок, хакатоны и совместную </w:t>
            </w:r>
            <w:r>
              <w:rPr>
                <w:rFonts w:ascii="Arial" w:eastAsia="Arial" w:hAnsi="Arial" w:cs="Arial"/>
              </w:rPr>
              <w:lastRenderedPageBreak/>
              <w:t>разработку образовательных программ </w:t>
            </w:r>
            <w:hyperlink r:id="rId15" w:history="1">
              <w:r>
                <w:rPr>
                  <w:rStyle w:val="ac"/>
                  <w:rFonts w:ascii="Arial" w:eastAsia="Arial" w:hAnsi="Arial" w:cs="Arial"/>
                  <w:color w:val="0000FF"/>
                </w:rPr>
                <w:t>cabar</w:t>
              </w:r>
            </w:hyperlink>
            <w:r>
              <w:rPr>
                <w:rFonts w:ascii="Arial" w:eastAsia="Arial" w:hAnsi="Arial" w:cs="Arial"/>
              </w:rPr>
              <w:t>.</w:t>
            </w:r>
          </w:p>
        </w:tc>
        <w:tc>
          <w:tcPr>
            <w:tcW w:w="5190" w:type="dxa"/>
            <w:tcBorders>
              <w:bottom w:val="single" w:sz="8" w:space="0" w:color="DDDDDD"/>
              <w:right w:val="single" w:sz="8" w:space="0" w:color="DDDDDD"/>
            </w:tcBorders>
            <w:tcMar>
              <w:top w:w="120" w:type="dxa"/>
              <w:left w:w="120" w:type="dxa"/>
              <w:bottom w:w="120" w:type="dxa"/>
              <w:right w:w="120" w:type="dxa"/>
            </w:tcMar>
          </w:tcPr>
          <w:p w14:paraId="42F5AF57" w14:textId="77777777" w:rsidR="00B64A03" w:rsidRDefault="002A09F3">
            <w:pPr>
              <w:spacing w:after="0"/>
              <w:rPr>
                <w:rFonts w:ascii="Aptos" w:eastAsia="Aptos" w:hAnsi="Aptos" w:cs="Aptos"/>
              </w:rPr>
            </w:pPr>
            <w:r>
              <w:rPr>
                <w:rFonts w:ascii="Arial" w:eastAsia="Arial" w:hAnsi="Arial" w:cs="Arial"/>
              </w:rPr>
              <w:lastRenderedPageBreak/>
              <w:t>Источник особенно значим для обоснования платформенной модели, поскольку показывает, как цифровая инфраструктура способствует ускорению согласования задач, вовлечению студентов и индустриальных партнеров, а также более оперативному запуску совместных проектов </w:t>
            </w:r>
            <w:hyperlink r:id="rId16" w:history="1">
              <w:r>
                <w:rPr>
                  <w:rStyle w:val="ac"/>
                  <w:rFonts w:ascii="Arial" w:eastAsia="Arial" w:hAnsi="Arial" w:cs="Arial"/>
                  <w:color w:val="0000FF"/>
                </w:rPr>
                <w:t>cabar</w:t>
              </w:r>
            </w:hyperlink>
            <w:r>
              <w:rPr>
                <w:rFonts w:ascii="Arial" w:eastAsia="Arial" w:hAnsi="Arial" w:cs="Arial"/>
              </w:rPr>
              <w:t>.</w:t>
            </w:r>
          </w:p>
        </w:tc>
      </w:tr>
    </w:tbl>
    <w:p w14:paraId="50FA88F7" w14:textId="77777777" w:rsidR="00B209B8" w:rsidRDefault="002A09F3">
      <w:r>
        <w:t>Таблица 1. Сравнительная таблица источников по инициации и запуску ВУЗами проектов с индустрией</w:t>
      </w:r>
    </w:p>
    <w:p w14:paraId="36654DAA" w14:textId="77777777" w:rsidR="00B209B8" w:rsidRDefault="002A09F3">
      <w:pPr>
        <w:spacing w:before="180" w:after="180"/>
        <w:rPr>
          <w:rFonts w:ascii="Aptos" w:eastAsia="Aptos" w:hAnsi="Aptos" w:cs="Aptos"/>
        </w:rPr>
      </w:pPr>
      <w:r>
        <w:rPr>
          <w:rFonts w:ascii="Aptos" w:eastAsia="Aptos" w:hAnsi="Aptos" w:cs="Aptos"/>
        </w:rPr>
        <w:t>С практической точки зрения вышеупомянутых источников, цифровая поддержка рассматриваемого процесса должна обеспечивать непрерывность информационного движения от исходного текста обращения к конкретным управленческим действиям. Немалая часть реализованных проектов, в частности, в последнем случае, появилась и воплотилась благодаря тому, что у множества университетов запускаются специальные платформы по взаимодействию студентов и руководству ВУЗов с заказчиками (в том числе потенциальными). Это приводит к кратному росту реализуемых проектов.</w:t>
      </w:r>
    </w:p>
    <w:p w14:paraId="676135BE" w14:textId="77777777" w:rsidR="00B209B8" w:rsidRDefault="002A09F3">
      <w:pPr>
        <w:spacing w:before="180" w:after="180"/>
        <w:rPr>
          <w:rFonts w:ascii="Aptos" w:eastAsia="Aptos" w:hAnsi="Aptos" w:cs="Aptos"/>
        </w:rPr>
      </w:pPr>
      <w:r>
        <w:rPr>
          <w:rFonts w:ascii="Aptos" w:eastAsia="Aptos" w:hAnsi="Aptos" w:cs="Aptos"/>
        </w:rPr>
        <w:t>Цифровизация в данной области не ограничивается созданием электронного архива обращений. Ее содержательное значение связано с тем, что система должна поддерживать удобную связь с заказчиком, например, чтобы все его идеи были сохранены и переданы в нужный отдел университета, а люди в будущем могли быстро оценить перспективы и начать проект с заказчиком. При таком подходе цифровой инструмент становится не вспомогательным каналом переписки, а организационной основой для согласованной работы участников процесса.</w:t>
      </w:r>
    </w:p>
    <w:p w14:paraId="1757A2B3" w14:textId="77777777" w:rsidR="00B209B8" w:rsidRDefault="002A09F3">
      <w:pPr>
        <w:spacing w:before="180" w:after="180"/>
        <w:rPr>
          <w:rFonts w:ascii="Aptos" w:eastAsia="Aptos" w:hAnsi="Aptos" w:cs="Aptos"/>
        </w:rPr>
      </w:pPr>
      <w:r>
        <w:rPr>
          <w:rFonts w:ascii="Aptos" w:eastAsia="Aptos" w:hAnsi="Aptos" w:cs="Aptos"/>
        </w:rPr>
        <w:t>Таким образом, цифровизация взаимодействия с заказчиками на стадии инициации проектов должна рассматриваться как средство повышения прозрачности, прослеживаемости и управляемости процесса, в котором внешнее обращение преобразуется во внутренне согласованную проектную инициативу. Именно такая постановка вопроса позволяет перейти от общего тезиса о необходимости цифровой трансформации к анализу конкретных проблемных зон существующих подходов.</w:t>
      </w:r>
    </w:p>
    <w:p w14:paraId="18097D5A" w14:textId="77777777" w:rsidR="00B209B8" w:rsidRDefault="002A09F3">
      <w:pPr>
        <w:spacing w:before="160" w:after="80"/>
        <w:rPr>
          <w:rFonts w:ascii="Aptos Display" w:eastAsia="Aptos Display" w:hAnsi="Aptos Display" w:cs="Aptos Display"/>
          <w:color w:val="0F4761"/>
          <w:sz w:val="32"/>
        </w:rPr>
      </w:pPr>
      <w:r>
        <w:rPr>
          <w:rFonts w:ascii="Aptos Display" w:eastAsia="Aptos Display" w:hAnsi="Aptos Display" w:cs="Aptos Display"/>
          <w:color w:val="0F4761"/>
          <w:sz w:val="32"/>
        </w:rPr>
        <w:t>1.2. Анализ процессов инициации проектов и разбор проблемных зон существующих подходов</w:t>
      </w:r>
    </w:p>
    <w:p w14:paraId="3F1AB4BF" w14:textId="77777777" w:rsidR="00B209B8" w:rsidRDefault="002A09F3">
      <w:pPr>
        <w:spacing w:before="180" w:after="180"/>
        <w:rPr>
          <w:rFonts w:ascii="Aptos" w:eastAsia="Aptos" w:hAnsi="Aptos" w:cs="Aptos"/>
        </w:rPr>
      </w:pPr>
      <w:r>
        <w:rPr>
          <w:rFonts w:ascii="Aptos" w:eastAsia="Aptos" w:hAnsi="Aptos" w:cs="Aptos"/>
        </w:rPr>
        <w:t>Инициация проекта в университетской среде представляет собой совокупность действий, в рамках которых исходное предложение заказчика проходит путь от первичной фиксации до появления предварительного понимания целей, состава возможных участников и дальнейшего сценария работы. На этом этапе еще не сформирован окончательный проектный контур, однако уже принимаются решения, влияющие на скорость реакции университета, полноту учета интересов подразделений и качество последующей коммуникации.</w:t>
      </w:r>
    </w:p>
    <w:p w14:paraId="7E94CF10" w14:textId="77777777" w:rsidR="00B209B8" w:rsidRDefault="002A09F3">
      <w:pPr>
        <w:spacing w:before="180" w:after="180"/>
        <w:rPr>
          <w:rFonts w:ascii="Aptos" w:eastAsia="Aptos" w:hAnsi="Aptos" w:cs="Aptos"/>
        </w:rPr>
      </w:pPr>
      <w:r>
        <w:rPr>
          <w:rFonts w:ascii="Aptos" w:eastAsia="Aptos" w:hAnsi="Aptos" w:cs="Aptos"/>
        </w:rPr>
        <w:t xml:space="preserve">В общем виде рассматриваемый процесс включает регистрацию обращения (получение каким-либо образом заявки или сообщения), сохранение его исходного содержания, предварительный анализ текста, определение потенциально релевантных подразделений, создание и отправку сообщений в релевантные подразделения, сбор откликов и фиксацию результатов. Каждое из перечисленных действий само по себе не </w:t>
      </w:r>
      <w:r>
        <w:rPr>
          <w:rFonts w:ascii="Aptos" w:eastAsia="Aptos" w:hAnsi="Aptos" w:cs="Aptos"/>
        </w:rPr>
        <w:lastRenderedPageBreak/>
        <w:t>является избыточно сложным, однако их разобщенное выполнение в разных каналах порождает существенные организационные издержки.</w:t>
      </w:r>
    </w:p>
    <w:p w14:paraId="2DD88430" w14:textId="77777777" w:rsidR="00B209B8" w:rsidRDefault="002A09F3">
      <w:pPr>
        <w:spacing w:before="180" w:after="180"/>
        <w:rPr>
          <w:rFonts w:ascii="Aptos" w:eastAsia="Aptos" w:hAnsi="Aptos" w:cs="Aptos"/>
        </w:rPr>
      </w:pPr>
      <w:r>
        <w:rPr>
          <w:rFonts w:ascii="Aptos" w:eastAsia="Aptos" w:hAnsi="Aptos" w:cs="Aptos"/>
        </w:rPr>
        <w:t>Первая группа проблем связана с неструктурированностью исходных данных. Заказчик формулирует запрос в собственной профессиональной логике, в которой могут смешиваться описание проблемы, предполагаемый результат, ограничения по срокам, ожидания по форме сотрудничества и дополнительные контекстные сведения. Для преподавателя или сотрудника, который впервые получает такое обращение, задача первоначальной интерпретации требует времени и нередко сопровождается неоднозначностью выводов.</w:t>
      </w:r>
    </w:p>
    <w:p w14:paraId="6653E427" w14:textId="77777777" w:rsidR="00B209B8" w:rsidRDefault="002A09F3">
      <w:pPr>
        <w:spacing w:before="180" w:after="180"/>
        <w:rPr>
          <w:rFonts w:ascii="Aptos" w:eastAsia="Aptos" w:hAnsi="Aptos" w:cs="Aptos"/>
        </w:rPr>
      </w:pPr>
      <w:r>
        <w:rPr>
          <w:rFonts w:ascii="Aptos" w:eastAsia="Aptos" w:hAnsi="Aptos" w:cs="Aptos"/>
        </w:rPr>
        <w:t>Вторая проблемная зона обусловлена фрагментацией коммуникации. Если запрос обсуждается в электронной почте, мессенджерах, документах и устных согласованиях, существенная часть информации не закрепляется в едином месте. В результате снижается прослеживаемость решений, затрудняется передача контекста другим участникам и возрастает вероятность того, что адресная рассылка будет подготовлена на основе неполных или устаревших сведений.</w:t>
      </w:r>
    </w:p>
    <w:p w14:paraId="3B648748" w14:textId="77777777" w:rsidR="00B209B8" w:rsidRDefault="002A09F3">
      <w:pPr>
        <w:spacing w:before="180" w:after="180"/>
        <w:rPr>
          <w:rFonts w:ascii="Aptos" w:eastAsia="Aptos" w:hAnsi="Aptos" w:cs="Aptos"/>
        </w:rPr>
      </w:pPr>
      <w:r>
        <w:rPr>
          <w:rFonts w:ascii="Aptos" w:eastAsia="Aptos" w:hAnsi="Aptos" w:cs="Aptos"/>
        </w:rPr>
        <w:t>Третья проблема вытекает из распределенности университетской экспертизы. Значительная часть предложений со стороны индустрии носит междисциплинарный характер, вследствие чего выбор подразделений не может основываться только на формальном названии темы или на ограниченном круге привычных контактов. При отсутствии специального механизма подбора адресатов инициатор вынужден полагаться на личный опыт, что увеличивает риск пропуска потенциально заинтересованных участников.</w:t>
      </w:r>
    </w:p>
    <w:p w14:paraId="1AA6AA34" w14:textId="77777777" w:rsidR="00B209B8" w:rsidRDefault="002A09F3">
      <w:pPr>
        <w:spacing w:before="180" w:after="180"/>
        <w:rPr>
          <w:rFonts w:ascii="Aptos" w:eastAsia="Aptos" w:hAnsi="Aptos" w:cs="Aptos"/>
        </w:rPr>
      </w:pPr>
      <w:r>
        <w:rPr>
          <w:rFonts w:ascii="Aptos" w:eastAsia="Aptos" w:hAnsi="Aptos" w:cs="Aptos"/>
        </w:rPr>
        <w:t>Четвертая проблема связана с недостаточной наблюдаемостью статусов. Когда университет не располагает единым инструментом, фиксирующим переходы от получения запроса к его анализу, рассылке и получению откликов, руководители и исполнители не видят полной картины происходящего. Это затрудняет контроль сроков, снижает ответственность за отдельные действия и осложняет последующую оценку эффективности работы с проектными предложениями.</w:t>
      </w:r>
    </w:p>
    <w:p w14:paraId="06DC4697" w14:textId="77777777" w:rsidR="00B209B8" w:rsidRDefault="002A09F3">
      <w:pPr>
        <w:spacing w:before="180" w:after="180"/>
        <w:rPr>
          <w:rFonts w:ascii="Aptos" w:eastAsia="Aptos" w:hAnsi="Aptos" w:cs="Aptos"/>
        </w:rPr>
      </w:pPr>
      <w:r>
        <w:rPr>
          <w:rFonts w:ascii="Aptos" w:eastAsia="Aptos" w:hAnsi="Aptos" w:cs="Aptos"/>
        </w:rPr>
        <w:t>Для преподавателей и научных руководителей перечисленные затруднения проявляются в дополнительной нагрузке, которая не сводится к экспертной оценке самой идеи проекта. Им приходится уточнять недостающие сведения, сопоставлять предложение с возможностями подразделения, согласовывать участие с коллегами, а также заново восстанавливать историю обсуждения, если коммуникация растягивается во времени. Тем самым часть ресурсов расходуется не на содержательное развитие инициативы, а на преодоление организационной неопределенности.</w:t>
      </w:r>
    </w:p>
    <w:p w14:paraId="4B8CBD16" w14:textId="77777777" w:rsidR="00B209B8" w:rsidRDefault="002A09F3">
      <w:pPr>
        <w:spacing w:before="180" w:after="180"/>
        <w:rPr>
          <w:rFonts w:ascii="Aptos" w:eastAsia="Aptos" w:hAnsi="Aptos" w:cs="Aptos"/>
        </w:rPr>
      </w:pPr>
      <w:r>
        <w:rPr>
          <w:rFonts w:ascii="Aptos" w:eastAsia="Aptos" w:hAnsi="Aptos" w:cs="Aptos"/>
        </w:rPr>
        <w:t xml:space="preserve">Следовательно, проблематика стадии инициации проекта определяется не одним локальным затруднением, а сочетанием смысловой неопределенности, организационной распределенности и дефицита прослеживаемости. Именно эта совокупность обстоятельств формирует требования к цифровому решению, которое должно </w:t>
      </w:r>
      <w:r>
        <w:rPr>
          <w:rFonts w:ascii="Aptos" w:eastAsia="Aptos" w:hAnsi="Aptos" w:cs="Aptos"/>
        </w:rPr>
        <w:lastRenderedPageBreak/>
        <w:t>одновременно поддерживать анализ обращения, координацию внутренних участников и накопление истории работы по каждому запросу.</w:t>
      </w:r>
    </w:p>
    <w:p w14:paraId="713ED19A" w14:textId="77777777" w:rsidR="00B209B8" w:rsidRDefault="002A09F3">
      <w:pPr>
        <w:spacing w:before="160" w:after="80"/>
        <w:rPr>
          <w:rFonts w:ascii="Aptos Display" w:eastAsia="Aptos Display" w:hAnsi="Aptos Display" w:cs="Aptos Display"/>
          <w:color w:val="0F4761"/>
          <w:sz w:val="32"/>
        </w:rPr>
      </w:pPr>
      <w:r>
        <w:rPr>
          <w:rFonts w:ascii="Aptos Display" w:eastAsia="Aptos Display" w:hAnsi="Aptos Display" w:cs="Aptos Display"/>
          <w:color w:val="0F4761"/>
          <w:sz w:val="32"/>
        </w:rPr>
        <w:t>1.3. Обзор классов цифровых решений и подходов к автоматизации</w:t>
      </w:r>
    </w:p>
    <w:p w14:paraId="11FBEE45" w14:textId="77777777" w:rsidR="00B209B8" w:rsidRDefault="002A09F3">
      <w:pPr>
        <w:spacing w:before="180" w:after="180"/>
        <w:rPr>
          <w:rFonts w:ascii="Aptos" w:eastAsia="Aptos" w:hAnsi="Aptos" w:cs="Aptos"/>
        </w:rPr>
      </w:pPr>
      <w:r>
        <w:rPr>
          <w:rFonts w:ascii="Aptos" w:eastAsia="Aptos" w:hAnsi="Aptos" w:cs="Aptos"/>
        </w:rPr>
        <w:t>Для автоматизации стадии инициации проектов могут использоваться как универсальные классы информационных систем, так и специализированные университетские сервисы. Аналитически целесообразно рассматривать их совместно, поскольку именно сопоставление общих технологических подходов с реальными практиками позволяет точнее определить границы применимости существующих решений.</w:t>
      </w:r>
    </w:p>
    <w:p w14:paraId="08F08125" w14:textId="77777777" w:rsidR="00B209B8" w:rsidRDefault="002A09F3">
      <w:pPr>
        <w:spacing w:before="180" w:after="180"/>
        <w:rPr>
          <w:rFonts w:ascii="Aptos" w:eastAsia="Aptos" w:hAnsi="Aptos" w:cs="Aptos"/>
        </w:rPr>
      </w:pPr>
      <w:r>
        <w:rPr>
          <w:rFonts w:ascii="Aptos" w:eastAsia="Aptos" w:hAnsi="Aptos" w:cs="Aptos"/>
        </w:rPr>
        <w:t>CRM-системы обеспечивают учет контактов, ведение карточек организаций, сохранение истории переписки и базовую структуризацию внешних обращений. Их достоинство заключается в поддержке непрерывности взаимоотношений с заказчиками, однако применительно к университетской среде этих возможностей недостаточно, когда требуется не только зафиксировать контакт, но и организовать внутреннюю маршрутизацию сложного междисциплинарного запроса по подразделениям и ответственным лицам.</w:t>
      </w:r>
    </w:p>
    <w:p w14:paraId="0D972523" w14:textId="77777777" w:rsidR="00B209B8" w:rsidRDefault="002A09F3">
      <w:pPr>
        <w:spacing w:before="180" w:after="180"/>
        <w:rPr>
          <w:rFonts w:ascii="Aptos" w:eastAsia="Aptos" w:hAnsi="Aptos" w:cs="Aptos"/>
        </w:rPr>
      </w:pPr>
      <w:r>
        <w:rPr>
          <w:rFonts w:ascii="Aptos" w:eastAsia="Aptos" w:hAnsi="Aptos" w:cs="Aptos"/>
        </w:rPr>
        <w:t>Системы класса service desk и BPM ориентированы на формализацию ролей, статусов, сроков и маршрутов обработки заявок. Такие инструменты особенно полезны там, где последовательность действий поддается регламентации, а результат каждого шага должен быть явно зафиксирован. Вместе с тем для рассматриваемой задачи их возможностей недостаточно без дополнительного содержательного слоя, поскольку входящий проектный запрос часто представлен свободным текстом и требует предварительной интерпретации до запуска формального маршрута.</w:t>
      </w:r>
    </w:p>
    <w:p w14:paraId="7A786822" w14:textId="77777777" w:rsidR="00B209B8" w:rsidRDefault="002A09F3">
      <w:pPr>
        <w:spacing w:before="180" w:after="180"/>
        <w:rPr>
          <w:rFonts w:ascii="Aptos" w:eastAsia="Aptos" w:hAnsi="Aptos" w:cs="Aptos"/>
        </w:rPr>
      </w:pPr>
      <w:r>
        <w:rPr>
          <w:rFonts w:ascii="Aptos" w:eastAsia="Aptos" w:hAnsi="Aptos" w:cs="Aptos"/>
        </w:rPr>
        <w:t>Системы управления проектами эффективны на последующих стадиях, когда проект уже определен, назначены участники и согласованы цели, сроки и ожидаемые результаты. На этапе инициации их потенциал ограничен тем, что исходный проектный объект еще не сформирован, а потому требуется предварительный механизм перехода от текстового предложения к рабочей проектной постановке, пригодной для дальнейшего планирования.</w:t>
      </w:r>
    </w:p>
    <w:p w14:paraId="783FD7EF" w14:textId="77777777" w:rsidR="00B209B8" w:rsidRDefault="002A09F3">
      <w:pPr>
        <w:spacing w:before="180" w:after="180"/>
        <w:rPr>
          <w:rFonts w:ascii="Aptos" w:eastAsia="Aptos" w:hAnsi="Aptos" w:cs="Aptos"/>
        </w:rPr>
      </w:pPr>
      <w:r>
        <w:rPr>
          <w:rFonts w:ascii="Aptos" w:eastAsia="Aptos" w:hAnsi="Aptos" w:cs="Aptos"/>
        </w:rPr>
        <w:t>Средства анализа текстовой информации, включая современные языковые модели, способны повысить качество первичной обработки обращения за счет выделения ключевых тем, краткого изложения содержания, декомпозиции задачи и предварительного подбора направлений экспертизы. Однако при отсутствии единой системы хранения, ролей, состояний, адресной коммуникации и фиксации откликов даже качественный аналитический модуль остается изолированным инструментом и не решает задачу организационной координации в целом.</w:t>
      </w:r>
    </w:p>
    <w:p w14:paraId="444BE821" w14:textId="77777777" w:rsidR="00B209B8" w:rsidRDefault="002A09F3">
      <w:pPr>
        <w:spacing w:before="180" w:after="180"/>
        <w:rPr>
          <w:rFonts w:ascii="Aptos" w:eastAsia="Aptos" w:hAnsi="Aptos" w:cs="Aptos"/>
        </w:rPr>
      </w:pPr>
      <w:r>
        <w:rPr>
          <w:rFonts w:ascii="Aptos" w:eastAsia="Aptos" w:hAnsi="Aptos" w:cs="Aptos"/>
        </w:rPr>
        <w:t xml:space="preserve">Практический интерес представляют и реальные университетские решения. В НИУ ВШЭ используется экосистема сервисов проектной деятельности, в том числе цифровой инструмент SmartPro и специализированные страницы для выбора или подачи проектов, что подтверждает востребованность отдельных цифровых контуров для связи партнеров, </w:t>
      </w:r>
      <w:r>
        <w:rPr>
          <w:rFonts w:ascii="Aptos" w:eastAsia="Aptos" w:hAnsi="Aptos" w:cs="Aptos"/>
        </w:rPr>
        <w:lastRenderedPageBreak/>
        <w:t>студентов и преподавателей. Вместе с тем такие решения в значительной степени ориентированы на образовательную проектную деятельность и на распределение уже сформулированных проектных задач между участниками.</w:t>
      </w:r>
    </w:p>
    <w:p w14:paraId="2F152104" w14:textId="77777777" w:rsidR="00B209B8" w:rsidRDefault="002A09F3">
      <w:pPr>
        <w:spacing w:before="180" w:after="180"/>
        <w:rPr>
          <w:rFonts w:ascii="Aptos" w:eastAsia="Aptos" w:hAnsi="Aptos" w:cs="Aptos"/>
        </w:rPr>
      </w:pPr>
      <w:r>
        <w:rPr>
          <w:rFonts w:ascii="Aptos" w:eastAsia="Aptos" w:hAnsi="Aptos" w:cs="Aptos"/>
        </w:rPr>
        <w:t>В Уральском федеральном университете реализовано информационное пространство для взаимодействия партнеров с вузом, включающее сервисы проектного обучения и другие формы кооперации, а в ТУСУР действует ИТ-Хаб с биржей проектов, позволяющей компаниям публиковать задачи и формировать команды. Кроме того, Тюменский государственный университет развивает цифровой контур работы с работодателями и партнерами, в котором совместные проекты рассматриваются как одна из составных форм взаимодействия. Эти примеры демонстрируют высокую значимость партнерского интерфейса и сервисной логики сопровождения проектов.</w:t>
      </w:r>
    </w:p>
    <w:p w14:paraId="58A066ED" w14:textId="77777777" w:rsidR="00B209B8" w:rsidRDefault="002A09F3">
      <w:pPr>
        <w:spacing w:before="180" w:after="180"/>
        <w:rPr>
          <w:rFonts w:ascii="Aptos" w:eastAsia="Aptos" w:hAnsi="Aptos" w:cs="Aptos"/>
        </w:rPr>
      </w:pPr>
      <w:r>
        <w:rPr>
          <w:rFonts w:ascii="Aptos" w:eastAsia="Aptos" w:hAnsi="Aptos" w:cs="Aptos"/>
        </w:rPr>
        <w:t>Отдельного внимания заслуживает и программа «Сириус.Лето», где цифровой механизм подбора проектных задач, наставников и участников построен как межорганизационная среда. Хотя данный пример не относится к внутренним системам одного университета, он показывает, что успешная работа с проектными инициативами требует прозрачной структуры описания задач, понятных правил отбора и механизмов последующего сопровождения коммуникации между сторонами.</w:t>
      </w:r>
    </w:p>
    <w:p w14:paraId="1C996F16" w14:textId="77777777" w:rsidR="00B209B8" w:rsidRDefault="002A09F3">
      <w:pPr>
        <w:spacing w:before="180" w:after="180"/>
        <w:rPr>
          <w:rFonts w:ascii="Aptos" w:eastAsia="Aptos" w:hAnsi="Aptos" w:cs="Aptos"/>
        </w:rPr>
      </w:pPr>
      <w:r>
        <w:rPr>
          <w:rFonts w:ascii="Aptos" w:eastAsia="Aptos" w:hAnsi="Aptos" w:cs="Aptos"/>
        </w:rPr>
        <w:t>Проведенный обзор позволяет сделать вывод о том, что существующие решения закрывают преимущественно отдельные сегменты процесса: внешний контакт с партнером, публикацию проектных задач, сопровождение проектного обучения либо формальное управление заявками и статусами. Задача внутренней обработки уже поступившего обращения, связанная с его интерпретацией, подбором подразделений, подготовкой адресных сообщений и накоплением истории откликов, остается сравнительно слабо обеспеченной готовыми универсальными средствами. Именно поэтому для нашей предметной области требуется специализированное решение, сочетающее преимущества нескольких подходов в едином контуре.</w:t>
      </w:r>
    </w:p>
    <w:p w14:paraId="4547626D" w14:textId="77777777" w:rsidR="00B209B8" w:rsidRDefault="002A09F3">
      <w:pPr>
        <w:spacing w:before="160" w:after="80"/>
        <w:rPr>
          <w:rFonts w:ascii="Aptos Display" w:eastAsia="Aptos Display" w:hAnsi="Aptos Display" w:cs="Aptos Display"/>
          <w:color w:val="0F4761"/>
          <w:sz w:val="32"/>
        </w:rPr>
      </w:pPr>
      <w:r>
        <w:rPr>
          <w:rFonts w:ascii="Aptos Display" w:eastAsia="Aptos Display" w:hAnsi="Aptos Display" w:cs="Aptos Display"/>
          <w:color w:val="0F4761"/>
          <w:sz w:val="32"/>
        </w:rPr>
        <w:t>1.4. Обоснование необходимости разработки платформы «Проектория»</w:t>
      </w:r>
    </w:p>
    <w:p w14:paraId="5E97DBB8" w14:textId="77777777" w:rsidR="00B209B8" w:rsidRDefault="002A09F3">
      <w:pPr>
        <w:spacing w:before="180" w:after="180"/>
        <w:rPr>
          <w:rFonts w:ascii="Aptos" w:eastAsia="Aptos" w:hAnsi="Aptos" w:cs="Aptos"/>
        </w:rPr>
      </w:pPr>
      <w:r>
        <w:rPr>
          <w:rFonts w:ascii="Aptos" w:eastAsia="Aptos" w:hAnsi="Aptos" w:cs="Aptos"/>
        </w:rPr>
        <w:t>Результаты проведенного анализа показывают, что университету требуется специализированное решение, ориентированное именно на раннюю внутреннюю обработку проектных предложений. Такая постановка задачи вытекает из сочетания трех обстоятельств: неструктурированности исходного обращения, распределенности экспертизы между подразделениями и необходимости сохранять управляемую историю решений на всем протяжении инициации.</w:t>
      </w:r>
    </w:p>
    <w:p w14:paraId="02D4FFCF" w14:textId="77777777" w:rsidR="00B209B8" w:rsidRDefault="002A09F3">
      <w:pPr>
        <w:spacing w:before="180" w:after="180"/>
        <w:rPr>
          <w:rFonts w:ascii="Aptos" w:eastAsia="Aptos" w:hAnsi="Aptos" w:cs="Aptos"/>
        </w:rPr>
      </w:pPr>
      <w:r>
        <w:rPr>
          <w:rFonts w:ascii="Aptos" w:eastAsia="Aptos" w:hAnsi="Aptos" w:cs="Aptos"/>
        </w:rPr>
        <w:t xml:space="preserve">На концептуальном уровне целевая платформа должна обеспечивать единое хранение проектных карточек и исходных текстов, поддерживать ролевую модель доступа, содержать актуализируемый справочник подразделений и ответственных лиц, предоставлять средства первичного анализа обращения, а также фиксировать движение запроса по стадиям рассмотрения. Не менее важно, чтобы система позволяла готовить и </w:t>
      </w:r>
      <w:r>
        <w:rPr>
          <w:rFonts w:ascii="Aptos" w:eastAsia="Aptos" w:hAnsi="Aptos" w:cs="Aptos"/>
        </w:rPr>
        <w:lastRenderedPageBreak/>
        <w:t>направлять адресные сообщения потенциальным участникам и сохраняла результаты их откликов в привязке к конкретному проекту.</w:t>
      </w:r>
    </w:p>
    <w:p w14:paraId="40665322" w14:textId="77777777" w:rsidR="00B209B8" w:rsidRDefault="002A09F3">
      <w:pPr>
        <w:spacing w:before="180" w:after="180"/>
        <w:rPr>
          <w:rFonts w:ascii="Aptos" w:eastAsia="Aptos" w:hAnsi="Aptos" w:cs="Aptos"/>
        </w:rPr>
      </w:pPr>
      <w:r>
        <w:rPr>
          <w:rFonts w:ascii="Aptos" w:eastAsia="Aptos" w:hAnsi="Aptos" w:cs="Aptos"/>
        </w:rPr>
        <w:t>Содержательная сложность входящих предложений делает принципиально важным сохранение баланса между автоматизацией и экспертным контролем. Полностью ручной подход приводит к росту организационных потерь, тогда как полностью автоматическое распределение запросов по подразделениям представляется рискованным вследствие междисциплинарного характера многих инициатив. В этих условиях наибольшую ценность приобретает полуавтоматическая модель, в которой цифровой инструмент помогает структурировать запрос и подготовить рекомендации, а окончательное решение остается за сотрудником университета.</w:t>
      </w:r>
    </w:p>
    <w:p w14:paraId="30901C44" w14:textId="77777777" w:rsidR="00B209B8" w:rsidRDefault="002A09F3">
      <w:pPr>
        <w:spacing w:before="180" w:after="180"/>
        <w:rPr>
          <w:rFonts w:ascii="Aptos" w:eastAsia="Aptos" w:hAnsi="Aptos" w:cs="Aptos"/>
        </w:rPr>
      </w:pPr>
      <w:r>
        <w:rPr>
          <w:rFonts w:ascii="Aptos" w:eastAsia="Aptos" w:hAnsi="Aptos" w:cs="Aptos"/>
        </w:rPr>
        <w:t>Разработка платформы «Проектория» отвечает прежде всего внутренним потребностям нашего университета, поскольку позволяет привести к единому порядку те действия, которые ранее выполнялись разрозненно и по-разному в зависимости от исполнителя. Одновременно такая платформа может рассматриваться как основа для последующей адаптации в иных университетах, если они нуждаются в сопоставимом механизме маршрутизации проектных предложений, но не располагают готовым специализированным решением.</w:t>
      </w:r>
    </w:p>
    <w:p w14:paraId="2399302D" w14:textId="77777777" w:rsidR="00B209B8" w:rsidRDefault="002A09F3">
      <w:pPr>
        <w:spacing w:before="180" w:after="180"/>
        <w:rPr>
          <w:rFonts w:ascii="Aptos" w:eastAsia="Aptos" w:hAnsi="Aptos" w:cs="Aptos"/>
        </w:rPr>
      </w:pPr>
      <w:r>
        <w:rPr>
          <w:rFonts w:ascii="Aptos" w:eastAsia="Aptos" w:hAnsi="Aptos" w:cs="Aptos"/>
        </w:rPr>
        <w:t>Специализированный характер платформы позволяет объединить в одном цифровом контуре функции, которые в универсальных системах обычно распределены между несколькими инструментами: регистрацию обращения, анализ текста, подбор подразделений, подготовку адресной коммуникации, фиксацию статусов и сбор откликов. За счет этого создаются предпосылки для повышения прозрачности процесса, снижения зависимости от индивидуальной практики сотрудников и накопления данных, пригодных для последующего анализа и совершенствования организационных процедур.</w:t>
      </w:r>
    </w:p>
    <w:p w14:paraId="46D9EF29" w14:textId="77777777" w:rsidR="00B209B8" w:rsidRDefault="002A09F3">
      <w:pPr>
        <w:spacing w:before="180" w:after="180"/>
        <w:sectPr w:rsidR="00B209B8">
          <w:footnotePr>
            <w:numRestart w:val="eachSect"/>
          </w:footnotePr>
          <w:pgSz w:w="12240" w:h="15840"/>
          <w:pgMar w:top="1440" w:right="1440" w:bottom="1440" w:left="1440" w:header="720" w:footer="720" w:gutter="0"/>
          <w:cols w:space="720"/>
        </w:sectPr>
      </w:pPr>
      <w:r>
        <w:rPr>
          <w:rFonts w:ascii="Aptos" w:eastAsia="Aptos" w:hAnsi="Aptos" w:cs="Aptos"/>
        </w:rPr>
        <w:t>Следовательно, разработка платформы «Проектория» является логически обоснованным ответом на выявленные ограничения существующих подходов и практик. Сформулированные в аналитической главе выводы позволяют перейти к постановке требований, описанию архитектуры и выбору технологических решений, которые обеспечивают реализацию данного подхода в рамках второй главы исследования.</w:t>
      </w:r>
      <w:bookmarkStart w:id="10" w:name="Xe0415b8a708a71e1c7499db84c394de94ff62ff"/>
      <w:bookmarkStart w:id="11" w:name="_Toc226251467"/>
      <w:bookmarkStart w:id="12" w:name="Xc4f5c05e0541aa1511d0c833644a38b08ad43e1"/>
      <w:bookmarkStart w:id="13" w:name="_Toc226251468"/>
      <w:bookmarkEnd w:id="10"/>
      <w:bookmarkEnd w:id="11"/>
      <w:bookmarkEnd w:id="12"/>
      <w:bookmarkEnd w:id="13"/>
    </w:p>
    <w:p w14:paraId="31B8D64E" w14:textId="77777777" w:rsidR="00B209B8" w:rsidRDefault="002A09F3">
      <w:pPr>
        <w:pStyle w:val="1"/>
      </w:pPr>
      <w:bookmarkStart w:id="14" w:name="_Toc230426980"/>
      <w:r>
        <w:lastRenderedPageBreak/>
        <w:t>ГЛАВА 2. ПРОЕКТИРОВАНИЕ ПЛАТФОРМЫ «ПРОЕКТОРИЯ»</w:t>
      </w:r>
      <w:bookmarkEnd w:id="14"/>
    </w:p>
    <w:p w14:paraId="1B024315" w14:textId="0D278CD1" w:rsidR="00B209B8" w:rsidRDefault="002A09F3">
      <w:pPr>
        <w:spacing w:after="240"/>
      </w:pPr>
      <w:r>
        <w:t xml:space="preserve">Во второй главе рассматриваются </w:t>
      </w:r>
      <w:r w:rsidR="00213A96">
        <w:t>архитектурные</w:t>
      </w:r>
      <w:r>
        <w:t xml:space="preserve"> решения, положенные в основу платформы «Проектория». Если в </w:t>
      </w:r>
      <w:r w:rsidR="00213A96">
        <w:t>теоретической</w:t>
      </w:r>
      <w:r>
        <w:t xml:space="preserve"> части внимание было сосредоточено на</w:t>
      </w:r>
      <w:r w:rsidR="00213A96">
        <w:t xml:space="preserve"> анализе и характеристике</w:t>
      </w:r>
      <w:r>
        <w:t xml:space="preserve"> предметной области, анализе источников и обосновании необходимости цифровой поддержки стадии инициации проектов, то </w:t>
      </w:r>
      <w:r w:rsidR="00065B21">
        <w:t xml:space="preserve">в этой </w:t>
      </w:r>
      <w:r>
        <w:t xml:space="preserve">выполняется переход к формированию требований и архитектуры, реализуемой в проекте. В </w:t>
      </w:r>
      <w:r w:rsidR="00213A96">
        <w:t>данной работе</w:t>
      </w:r>
      <w:r>
        <w:t xml:space="preserve"> проектирование </w:t>
      </w:r>
      <w:r w:rsidR="00213A96">
        <w:t xml:space="preserve">программного продукта </w:t>
      </w:r>
      <w:r>
        <w:t>следует рассматривать как процедуру установления соответствия между проблемами процесса и конкретными программно-архитектурными механизмами, реализованными в информационной системе.</w:t>
      </w:r>
    </w:p>
    <w:p w14:paraId="40D440D0" w14:textId="5FC9203A" w:rsidR="00B209B8" w:rsidRDefault="002A09F3">
      <w:pPr>
        <w:spacing w:after="240"/>
      </w:pPr>
      <w:r>
        <w:t xml:space="preserve">Платформа «Проектория» </w:t>
      </w:r>
      <w:r w:rsidR="009836DE">
        <w:t>создавалась и разрабатывалась</w:t>
      </w:r>
      <w:r>
        <w:t xml:space="preserve"> как внутреннее web-решение для сотрудников университета, участвующих в ранней обработке запросов заказчиков. Соответственно, при постановке требований и выборе архитектурных решений приоритет </w:t>
      </w:r>
      <w:r w:rsidR="009836DE">
        <w:t xml:space="preserve">отдавался запросам заказчика (преподавателей и сотрудников университета) в виде </w:t>
      </w:r>
      <w:r>
        <w:t>управляемости процесса</w:t>
      </w:r>
      <w:r w:rsidR="009836DE">
        <w:t xml:space="preserve"> управлением заявками, состояниями и возможности </w:t>
      </w:r>
      <w:r>
        <w:t xml:space="preserve">интеллектуальной поддержки анализа </w:t>
      </w:r>
      <w:r w:rsidR="009836DE">
        <w:t>с последующей</w:t>
      </w:r>
      <w:r>
        <w:t xml:space="preserve"> коммуникац</w:t>
      </w:r>
      <w:r w:rsidR="009836DE">
        <w:t>ией</w:t>
      </w:r>
      <w:r>
        <w:t xml:space="preserve"> с подразделениями. Важной особенностью является то, что система не подменяет собой весь жизненный цикл проектной работы</w:t>
      </w:r>
      <w:r w:rsidR="009836DE">
        <w:t xml:space="preserve"> (где ведется работа с существующими проектами)</w:t>
      </w:r>
      <w:r>
        <w:t>, а фокусируется на её начальной фазе, где требуется перевести неструктурированное обращение в формализованный объект внутреннего управления.</w:t>
      </w:r>
    </w:p>
    <w:p w14:paraId="29C750A4" w14:textId="77777777" w:rsidR="00B209B8" w:rsidRDefault="002A09F3">
      <w:pPr>
        <w:spacing w:before="160" w:after="80"/>
        <w:rPr>
          <w:rFonts w:ascii="Aptos Display" w:eastAsia="Aptos Display" w:hAnsi="Aptos Display" w:cs="Aptos Display"/>
          <w:color w:val="0F4761"/>
          <w:sz w:val="32"/>
        </w:rPr>
      </w:pPr>
      <w:r>
        <w:rPr>
          <w:rFonts w:ascii="Aptos Display" w:eastAsia="Aptos Display" w:hAnsi="Aptos Display" w:cs="Aptos Display"/>
          <w:color w:val="0F4761"/>
          <w:sz w:val="32"/>
        </w:rPr>
        <w:t>2.1. Проведение бизнес- и компонентного анализа для определения пользовательских сценариев</w:t>
      </w:r>
    </w:p>
    <w:p w14:paraId="5E6D7EB0" w14:textId="77777777" w:rsidR="00B209B8" w:rsidRDefault="002A09F3">
      <w:pPr>
        <w:spacing w:after="240"/>
      </w:pPr>
      <w:r>
        <w:t>Требования к платформе «Проектория» определяются логикой автоматизируемого процесса и фактическим составом модулей, реализованных в проекте. Поскольку система предназначена для внутренней эксплуатации, ключевым требованием является поддержка аутентифицированной работы сотрудников университета и разграничение их полномочий. Реализация ролей </w:t>
      </w:r>
      <w:r>
        <w:rPr>
          <w:sz w:val="22"/>
        </w:rPr>
        <w:t>ADMIN</w:t>
      </w:r>
      <w:r>
        <w:t> и </w:t>
      </w:r>
      <w:r>
        <w:rPr>
          <w:sz w:val="22"/>
        </w:rPr>
        <w:t>INITIATOR</w:t>
      </w:r>
      <w:r>
        <w:t> показывает, что на уровне предметной модели различаются административные функции управления системой и прикладные функции инициирования и сопровождения проекта. При этом отдельная аутентифицированная роль заказчика в текущей версии отсутствует, а внешний участник может взаимодействовать с системой только через специализированный публичный сценарий отклика по токенизированной ссылке.</w:t>
      </w:r>
    </w:p>
    <w:p w14:paraId="29A22159" w14:textId="77777777" w:rsidR="00B209B8" w:rsidRDefault="002A09F3">
      <w:pPr>
        <w:spacing w:after="240"/>
      </w:pPr>
      <w:r>
        <w:t xml:space="preserve">Функциональные требования к системе могут быть сформулированы исходя из поддерживаемых операций. Прежде всего система должна обеспечивать авторизацию пользователя, получение сведений о его текущей сессии и завершение сеанса. Далее она должна предоставлять возможность создания проектной карточки, содержащей наименование проекта и исходный текст запроса. С учетом того что исходные данные могут поступать в виде текстового файла, система должна также поддерживать </w:t>
      </w:r>
      <w:r>
        <w:lastRenderedPageBreak/>
        <w:t>извлечение содержимого из файла формата </w:t>
      </w:r>
      <w:r>
        <w:rPr>
          <w:sz w:val="22"/>
        </w:rPr>
        <w:t>.txt</w:t>
      </w:r>
      <w:r>
        <w:t>, что соответствует текущим ограничениям MVP-версии. Следующим обязательным требованием является возможность запуска анализа проекта, сохранения результатов анализа и получения детальной карточки проекта с сопутствующими сущностями.</w:t>
      </w:r>
    </w:p>
    <w:p w14:paraId="4BE60D07" w14:textId="77777777" w:rsidR="00B209B8" w:rsidRDefault="002A09F3">
      <w:pPr>
        <w:spacing w:after="240"/>
      </w:pPr>
      <w:r>
        <w:t>Не менее важными являются требования к поддержке управляемой коммуникации с подразделениями. Система должна хранить перечень подразделений и адресатов, формировать рекомендации по потенциальному вовлечению подразделений на основе анализа текста, предоставлять инициатору возможность корректировки черновиков писем, а затем создавать и запускать рассылки. Кроме того, система должна поддерживать сбор обратной связи от подразделений, для чего в текущей архитектуре реализован механизм индивидуальных ссылок отклика. После фиксации отклика инициатор должен получить уведомление в интерфейсе и по электронной почте. Наконец, отдельный блок требований касается административного управления: создание и изменение учетных записей, поддержка справочника подразделений и редактируемых адресатов, а также работа с системными настройками в формате ключ-значение.</w:t>
      </w:r>
    </w:p>
    <w:p w14:paraId="538E9A23" w14:textId="77777777" w:rsidR="00B209B8" w:rsidRDefault="002A09F3">
      <w:pPr>
        <w:spacing w:after="240"/>
      </w:pPr>
      <w:r>
        <w:t>Наряду с функциональными следует выделить и ряд нефункциональных требований, которые могут быть достоверно восстановлены по архитектуре и конфигурации проекта. Во-первых, система должна обеспечивать базовую защищенность пользовательских данных и операций, что выражено в использовании хеширования паролей, аутентификации на базе JWT в </w:t>
      </w:r>
      <w:r>
        <w:rPr>
          <w:sz w:val="22"/>
        </w:rPr>
        <w:t>httpOnly</w:t>
      </w:r>
      <w:r>
        <w:t> cookie, проверке </w:t>
      </w:r>
      <w:r>
        <w:rPr>
          <w:sz w:val="22"/>
        </w:rPr>
        <w:t>CSRF</w:t>
      </w:r>
      <w:r>
        <w:t>-токена и ролевом разграничении доступа. Во-вторых, система должна поддерживать устойчивую обработку операций, потенциально требующих значительного времени выполнения. Именно этим объясняется использование очередей задач для анализа проекта и рассылки писем. В-третьих, система должна быть разворачиваемой в воспроизводимом окружении, что обеспечивается контейнеризацией и общей оркестрацией через Docker Compose. В-четвертых, система должна сохранять возможность модификации интеграционного и организационного контура без разрушения доменной логики, что выражено в наличии отдельного слоя LLM-провайдеров, интеграции с </w:t>
      </w:r>
      <w:r>
        <w:rPr>
          <w:sz w:val="22"/>
        </w:rPr>
        <w:t>n8n</w:t>
      </w:r>
      <w:r>
        <w:t> и административного механизма управления подразделениями и адресатами.</w:t>
      </w:r>
    </w:p>
    <w:p w14:paraId="20BC0D54" w14:textId="77777777" w:rsidR="00B209B8" w:rsidRDefault="002A09F3">
      <w:pPr>
        <w:spacing w:after="240"/>
      </w:pPr>
      <w:r>
        <w:t>Ролевая модель системы отражает фактическую структуру участников процесса. Пользователь с ролью </w:t>
      </w:r>
      <w:r>
        <w:rPr>
          <w:sz w:val="22"/>
        </w:rPr>
        <w:t>INITIATOR</w:t>
      </w:r>
      <w:r>
        <w:t> является сотрудником университета, который создает проект, запускает анализ, просматривает результаты, редактирует письма и инициирует рассылку. Он также получает сведения об откликах по собственным проектам. Пользователь с ролью </w:t>
      </w:r>
      <w:r>
        <w:rPr>
          <w:sz w:val="22"/>
        </w:rPr>
        <w:t>ADMIN</w:t>
      </w:r>
      <w:r>
        <w:t> обладает расширенными правами: может просматривать все проекты, управлять учетными записями пользователей, редактировать справочник подразделений, управлять адресатами и системными настройками. Следует подчеркнуть, что внешний представитель подразделения, подтверждающий интерес к проекту, не включен в ролевую модель авторизованных пользователей и не получает стандартного доступа в систему. Его участие ограничивается использованием публичной ссылки отклика, привязанной к конкретной рассылке.</w:t>
      </w:r>
    </w:p>
    <w:p w14:paraId="69581678" w14:textId="77777777" w:rsidR="00B209B8" w:rsidRDefault="002A09F3">
      <w:pPr>
        <w:spacing w:after="240"/>
      </w:pPr>
      <w:r>
        <w:lastRenderedPageBreak/>
        <w:t>Такая ролевая структура соответствует внутреннему характеру эксплуатации платформы. Заказчик как внешний субъект в системе не аутентифицируется, а ранняя цифровая обработка обращения выполняется сотрудником университета. С проектной точки зрения это важно, поскольку определяет границы системы: «Проектория» ориентирована не на полный self-service-портал для внешнего пользователя, а на цифровое сопровождение внутренней управленческой деятельности университета после получения запроса.</w:t>
      </w:r>
    </w:p>
    <w:p w14:paraId="7362FA51" w14:textId="77777777" w:rsidR="00B209B8" w:rsidRDefault="002A09F3">
      <w:pPr>
        <w:spacing w:after="240"/>
      </w:pPr>
      <w:r>
        <w:t>Пользовательские сценарии, реализованные в системе, могут быть объединены в несколько типовых групп. Первый сценарий связан с созданием проекта: инициатор входит в систему, создает карточку проекта, вводит заголовок и текст запроса либо загружает текстовый файл. Второй сценарий связан с аналитической обработкой: после создания проекта инициатор запускает анализ, система переводит проект в очередь обработки, а затем сохраняет структурированный результат, включающий краткое описание, декомпозицию задач и рекомендации по подразделениям. Третий сценарий представляет собой подготовку коммуникации: инициатор изучает рекомендации, корректирует тексты писем, исключает нерелевантные подразделения и подтверждает запуск рассылки. Четвертый сценарий связан с обратной связью: адресат подразделения получает письмо, переходит по индивидуальной ссылке, подтверждает заинтересованность, после чего система фиксирует отклик и уведомляет инициатора. Пятый сценарий относится к административному сопровождению и включает управление пользователями, подразделениями и системными параметрами.</w:t>
      </w:r>
    </w:p>
    <w:p w14:paraId="3729F7E0" w14:textId="77777777" w:rsidR="00B209B8" w:rsidRDefault="002A09F3">
      <w:pPr>
        <w:spacing w:after="240"/>
      </w:pPr>
      <w:r>
        <w:t>С проектной точки зрения важным является то, что сценарии пользователя организованы не как набор разрозненных страниц, а как последовательность взаимосвязанных состояний единого проектного объекта. Именно это обеспечивает логическую целостность системы: действия инициатора не сводятся к отдельным операциям, а встроены в воспроизводимый процесс, наблюдаемый как на уровне интерфейса, так и на уровне доменной модели.</w:t>
      </w:r>
    </w:p>
    <w:tbl>
      <w:tblPr>
        <w:tblStyle w:val="af0"/>
        <w:tblW w:w="0" w:type="auto"/>
        <w:tblLayout w:type="fixed"/>
        <w:tblLook w:val="04A0" w:firstRow="1" w:lastRow="0" w:firstColumn="1" w:lastColumn="0" w:noHBand="0" w:noVBand="1"/>
      </w:tblPr>
      <w:tblGrid>
        <w:gridCol w:w="1207"/>
        <w:gridCol w:w="6009"/>
        <w:gridCol w:w="4055"/>
      </w:tblGrid>
      <w:tr w:rsidR="00B64A03" w14:paraId="722F2B7C" w14:textId="77777777">
        <w:tc>
          <w:tcPr>
            <w:tcW w:w="1207" w:type="dxa"/>
            <w:tcBorders>
              <w:top w:val="none" w:sz="18" w:space="0" w:color="auto"/>
              <w:bottom w:val="single" w:sz="6" w:space="0" w:color="000000"/>
            </w:tcBorders>
            <w:shd w:val="clear" w:color="auto" w:fill="FFFFFF"/>
            <w:tcMar>
              <w:top w:w="150" w:type="dxa"/>
              <w:left w:w="0" w:type="dxa"/>
              <w:bottom w:w="150" w:type="dxa"/>
              <w:right w:w="240" w:type="dxa"/>
            </w:tcMar>
          </w:tcPr>
          <w:p w14:paraId="60172F5B" w14:textId="77777777" w:rsidR="00B64A03" w:rsidRDefault="002A09F3">
            <w:r>
              <w:t>ID</w:t>
            </w:r>
          </w:p>
        </w:tc>
        <w:tc>
          <w:tcPr>
            <w:tcW w:w="6009" w:type="dxa"/>
            <w:tcBorders>
              <w:top w:val="none" w:sz="18" w:space="0" w:color="auto"/>
              <w:bottom w:val="single" w:sz="6" w:space="0" w:color="000000"/>
            </w:tcBorders>
            <w:shd w:val="clear" w:color="auto" w:fill="FFFFFF"/>
            <w:tcMar>
              <w:top w:w="150" w:type="dxa"/>
              <w:left w:w="240" w:type="dxa"/>
              <w:bottom w:w="150" w:type="dxa"/>
              <w:right w:w="240" w:type="dxa"/>
            </w:tcMar>
          </w:tcPr>
          <w:p w14:paraId="74808DDF" w14:textId="77777777" w:rsidR="00B64A03" w:rsidRDefault="002A09F3">
            <w:r>
              <w:t>Требование</w:t>
            </w:r>
          </w:p>
        </w:tc>
        <w:tc>
          <w:tcPr>
            <w:tcW w:w="4055" w:type="dxa"/>
            <w:tcBorders>
              <w:top w:val="none" w:sz="18" w:space="0" w:color="auto"/>
              <w:bottom w:val="single" w:sz="6" w:space="0" w:color="000000"/>
            </w:tcBorders>
            <w:shd w:val="clear" w:color="auto" w:fill="FFFFFF"/>
            <w:tcMar>
              <w:top w:w="150" w:type="dxa"/>
              <w:left w:w="240" w:type="dxa"/>
              <w:bottom w:w="150" w:type="dxa"/>
              <w:right w:w="240" w:type="dxa"/>
            </w:tcMar>
          </w:tcPr>
          <w:p w14:paraId="02CF9FB9" w14:textId="77777777" w:rsidR="00B64A03" w:rsidRDefault="002A09F3">
            <w:r>
              <w:t>Приоритет</w:t>
            </w:r>
          </w:p>
        </w:tc>
      </w:tr>
      <w:tr w:rsidR="00B64A03" w14:paraId="43F1EF3B" w14:textId="77777777">
        <w:tc>
          <w:tcPr>
            <w:tcW w:w="1207" w:type="dxa"/>
            <w:tcBorders>
              <w:bottom w:val="single" w:sz="6" w:space="0" w:color="000000"/>
            </w:tcBorders>
            <w:shd w:val="clear" w:color="auto" w:fill="FFFFFF"/>
            <w:tcMar>
              <w:top w:w="150" w:type="dxa"/>
              <w:left w:w="0" w:type="dxa"/>
              <w:bottom w:w="150" w:type="dxa"/>
              <w:right w:w="240" w:type="dxa"/>
            </w:tcMar>
          </w:tcPr>
          <w:p w14:paraId="16A4257E" w14:textId="77777777" w:rsidR="00B64A03" w:rsidRDefault="002A09F3">
            <w:r>
              <w:t>FR-01</w:t>
            </w:r>
          </w:p>
        </w:tc>
        <w:tc>
          <w:tcPr>
            <w:tcW w:w="6009" w:type="dxa"/>
            <w:tcBorders>
              <w:bottom w:val="single" w:sz="6" w:space="0" w:color="000000"/>
            </w:tcBorders>
            <w:shd w:val="clear" w:color="auto" w:fill="FFFFFF"/>
            <w:tcMar>
              <w:top w:w="150" w:type="dxa"/>
              <w:left w:w="240" w:type="dxa"/>
              <w:bottom w:w="150" w:type="dxa"/>
              <w:right w:w="240" w:type="dxa"/>
            </w:tcMar>
          </w:tcPr>
          <w:p w14:paraId="323F1D7A" w14:textId="77777777" w:rsidR="00B64A03" w:rsidRDefault="002A09F3">
            <w:r>
              <w:t>Система должна предоставлять форму аутентификации (email/пароль)</w:t>
            </w:r>
          </w:p>
        </w:tc>
        <w:tc>
          <w:tcPr>
            <w:tcW w:w="4055" w:type="dxa"/>
            <w:tcBorders>
              <w:bottom w:val="single" w:sz="6" w:space="0" w:color="000000"/>
            </w:tcBorders>
            <w:shd w:val="clear" w:color="auto" w:fill="FFFFFF"/>
            <w:tcMar>
              <w:top w:w="150" w:type="dxa"/>
              <w:left w:w="240" w:type="dxa"/>
              <w:bottom w:w="150" w:type="dxa"/>
              <w:right w:w="0" w:type="dxa"/>
            </w:tcMar>
          </w:tcPr>
          <w:p w14:paraId="3A5AAED5" w14:textId="77777777" w:rsidR="00B64A03" w:rsidRDefault="002A09F3">
            <w:r>
              <w:t>Высокий</w:t>
            </w:r>
          </w:p>
        </w:tc>
      </w:tr>
      <w:tr w:rsidR="00B64A03" w14:paraId="136F5461" w14:textId="77777777">
        <w:tc>
          <w:tcPr>
            <w:tcW w:w="1207" w:type="dxa"/>
            <w:tcBorders>
              <w:bottom w:val="single" w:sz="6" w:space="0" w:color="000000"/>
            </w:tcBorders>
            <w:shd w:val="clear" w:color="auto" w:fill="FFFFFF"/>
            <w:tcMar>
              <w:top w:w="150" w:type="dxa"/>
              <w:left w:w="0" w:type="dxa"/>
              <w:bottom w:w="150" w:type="dxa"/>
              <w:right w:w="240" w:type="dxa"/>
            </w:tcMar>
          </w:tcPr>
          <w:p w14:paraId="337379B5" w14:textId="77777777" w:rsidR="00B64A03" w:rsidRDefault="002A09F3">
            <w:r>
              <w:t>FR-02</w:t>
            </w:r>
          </w:p>
        </w:tc>
        <w:tc>
          <w:tcPr>
            <w:tcW w:w="6009" w:type="dxa"/>
            <w:tcBorders>
              <w:bottom w:val="single" w:sz="6" w:space="0" w:color="000000"/>
            </w:tcBorders>
            <w:shd w:val="clear" w:color="auto" w:fill="FFFFFF"/>
            <w:tcMar>
              <w:top w:w="150" w:type="dxa"/>
              <w:left w:w="240" w:type="dxa"/>
              <w:bottom w:w="150" w:type="dxa"/>
              <w:right w:w="240" w:type="dxa"/>
            </w:tcMar>
          </w:tcPr>
          <w:p w14:paraId="7010F555" w14:textId="77777777" w:rsidR="00B64A03" w:rsidRDefault="002A09F3">
            <w:r>
              <w:t>Роли пользователей должны разделяться на INITIATOR и ADMIN</w:t>
            </w:r>
          </w:p>
        </w:tc>
        <w:tc>
          <w:tcPr>
            <w:tcW w:w="4055" w:type="dxa"/>
            <w:tcBorders>
              <w:bottom w:val="single" w:sz="6" w:space="0" w:color="000000"/>
            </w:tcBorders>
            <w:shd w:val="clear" w:color="auto" w:fill="FFFFFF"/>
            <w:tcMar>
              <w:top w:w="150" w:type="dxa"/>
              <w:left w:w="240" w:type="dxa"/>
              <w:bottom w:w="150" w:type="dxa"/>
              <w:right w:w="0" w:type="dxa"/>
            </w:tcMar>
          </w:tcPr>
          <w:p w14:paraId="55A0C340" w14:textId="77777777" w:rsidR="00B64A03" w:rsidRDefault="002A09F3">
            <w:r>
              <w:t>Высокий</w:t>
            </w:r>
          </w:p>
        </w:tc>
      </w:tr>
      <w:tr w:rsidR="00B64A03" w14:paraId="399962FE" w14:textId="77777777">
        <w:tc>
          <w:tcPr>
            <w:tcW w:w="1207" w:type="dxa"/>
            <w:tcBorders>
              <w:bottom w:val="single" w:sz="6" w:space="0" w:color="000000"/>
            </w:tcBorders>
            <w:shd w:val="clear" w:color="auto" w:fill="FFFFFF"/>
            <w:tcMar>
              <w:top w:w="150" w:type="dxa"/>
              <w:left w:w="0" w:type="dxa"/>
              <w:bottom w:w="150" w:type="dxa"/>
              <w:right w:w="240" w:type="dxa"/>
            </w:tcMar>
          </w:tcPr>
          <w:p w14:paraId="3104D6D2" w14:textId="77777777" w:rsidR="00B64A03" w:rsidRDefault="002A09F3">
            <w:r>
              <w:t>FR-03</w:t>
            </w:r>
          </w:p>
        </w:tc>
        <w:tc>
          <w:tcPr>
            <w:tcW w:w="6009" w:type="dxa"/>
            <w:tcBorders>
              <w:bottom w:val="single" w:sz="6" w:space="0" w:color="000000"/>
            </w:tcBorders>
            <w:shd w:val="clear" w:color="auto" w:fill="FFFFFF"/>
            <w:tcMar>
              <w:top w:w="150" w:type="dxa"/>
              <w:left w:w="240" w:type="dxa"/>
              <w:bottom w:w="150" w:type="dxa"/>
              <w:right w:w="240" w:type="dxa"/>
            </w:tcMar>
          </w:tcPr>
          <w:p w14:paraId="21B1F801" w14:textId="77777777" w:rsidR="00B64A03" w:rsidRDefault="002A09F3">
            <w:r>
              <w:t>INITIATOR может создать проектный запрос, заполнив название и описание</w:t>
            </w:r>
          </w:p>
        </w:tc>
        <w:tc>
          <w:tcPr>
            <w:tcW w:w="4055" w:type="dxa"/>
            <w:tcBorders>
              <w:bottom w:val="single" w:sz="6" w:space="0" w:color="000000"/>
            </w:tcBorders>
            <w:shd w:val="clear" w:color="auto" w:fill="FFFFFF"/>
            <w:tcMar>
              <w:top w:w="150" w:type="dxa"/>
              <w:left w:w="240" w:type="dxa"/>
              <w:bottom w:w="150" w:type="dxa"/>
              <w:right w:w="0" w:type="dxa"/>
            </w:tcMar>
          </w:tcPr>
          <w:p w14:paraId="4383FD4E" w14:textId="77777777" w:rsidR="00B64A03" w:rsidRDefault="002A09F3">
            <w:r>
              <w:t>Высокий</w:t>
            </w:r>
          </w:p>
        </w:tc>
      </w:tr>
      <w:tr w:rsidR="00B64A03" w14:paraId="005CB9BD" w14:textId="77777777">
        <w:tc>
          <w:tcPr>
            <w:tcW w:w="1207" w:type="dxa"/>
            <w:tcBorders>
              <w:bottom w:val="single" w:sz="6" w:space="0" w:color="000000"/>
            </w:tcBorders>
            <w:shd w:val="clear" w:color="auto" w:fill="FFFFFF"/>
            <w:tcMar>
              <w:top w:w="150" w:type="dxa"/>
              <w:left w:w="0" w:type="dxa"/>
              <w:bottom w:w="150" w:type="dxa"/>
              <w:right w:w="240" w:type="dxa"/>
            </w:tcMar>
          </w:tcPr>
          <w:p w14:paraId="4C7772F4" w14:textId="77777777" w:rsidR="00B64A03" w:rsidRDefault="002A09F3">
            <w:r>
              <w:lastRenderedPageBreak/>
              <w:t>FR-04</w:t>
            </w:r>
          </w:p>
        </w:tc>
        <w:tc>
          <w:tcPr>
            <w:tcW w:w="6009" w:type="dxa"/>
            <w:tcBorders>
              <w:bottom w:val="single" w:sz="6" w:space="0" w:color="000000"/>
            </w:tcBorders>
            <w:shd w:val="clear" w:color="auto" w:fill="FFFFFF"/>
            <w:tcMar>
              <w:top w:w="150" w:type="dxa"/>
              <w:left w:w="240" w:type="dxa"/>
              <w:bottom w:w="150" w:type="dxa"/>
              <w:right w:w="240" w:type="dxa"/>
            </w:tcMar>
          </w:tcPr>
          <w:p w14:paraId="1D81DBD3" w14:textId="77777777" w:rsidR="00B64A03" w:rsidRDefault="002A09F3">
            <w:r>
              <w:t>Запрос сохраняется в статусе DRAFT до отправки на анализ</w:t>
            </w:r>
          </w:p>
        </w:tc>
        <w:tc>
          <w:tcPr>
            <w:tcW w:w="4055" w:type="dxa"/>
            <w:tcBorders>
              <w:bottom w:val="single" w:sz="6" w:space="0" w:color="000000"/>
            </w:tcBorders>
            <w:shd w:val="clear" w:color="auto" w:fill="FFFFFF"/>
            <w:tcMar>
              <w:top w:w="150" w:type="dxa"/>
              <w:left w:w="240" w:type="dxa"/>
              <w:bottom w:w="150" w:type="dxa"/>
              <w:right w:w="0" w:type="dxa"/>
            </w:tcMar>
          </w:tcPr>
          <w:p w14:paraId="19DAF7AF" w14:textId="77777777" w:rsidR="00B64A03" w:rsidRDefault="002A09F3">
            <w:r>
              <w:t>Высокий</w:t>
            </w:r>
          </w:p>
        </w:tc>
      </w:tr>
      <w:tr w:rsidR="00B64A03" w14:paraId="1224B5DB" w14:textId="77777777">
        <w:tc>
          <w:tcPr>
            <w:tcW w:w="1207" w:type="dxa"/>
            <w:tcBorders>
              <w:bottom w:val="single" w:sz="6" w:space="0" w:color="000000"/>
            </w:tcBorders>
            <w:shd w:val="clear" w:color="auto" w:fill="FFFFFF"/>
            <w:tcMar>
              <w:top w:w="150" w:type="dxa"/>
              <w:left w:w="0" w:type="dxa"/>
              <w:bottom w:w="150" w:type="dxa"/>
              <w:right w:w="240" w:type="dxa"/>
            </w:tcMar>
          </w:tcPr>
          <w:p w14:paraId="004E2DE1" w14:textId="77777777" w:rsidR="00B64A03" w:rsidRDefault="002A09F3">
            <w:r>
              <w:t>FR-05</w:t>
            </w:r>
          </w:p>
        </w:tc>
        <w:tc>
          <w:tcPr>
            <w:tcW w:w="6009" w:type="dxa"/>
            <w:tcBorders>
              <w:bottom w:val="single" w:sz="6" w:space="0" w:color="000000"/>
            </w:tcBorders>
            <w:shd w:val="clear" w:color="auto" w:fill="FFFFFF"/>
            <w:tcMar>
              <w:top w:w="150" w:type="dxa"/>
              <w:left w:w="240" w:type="dxa"/>
              <w:bottom w:w="150" w:type="dxa"/>
              <w:right w:w="240" w:type="dxa"/>
            </w:tcMar>
          </w:tcPr>
          <w:p w14:paraId="5242B647" w14:textId="77777777" w:rsidR="00B64A03" w:rsidRDefault="002A09F3">
            <w:r>
              <w:t>INITIATOR может отправить запрос на анализ</w:t>
            </w:r>
          </w:p>
        </w:tc>
        <w:tc>
          <w:tcPr>
            <w:tcW w:w="4055" w:type="dxa"/>
            <w:tcBorders>
              <w:bottom w:val="single" w:sz="6" w:space="0" w:color="000000"/>
            </w:tcBorders>
            <w:shd w:val="clear" w:color="auto" w:fill="FFFFFF"/>
            <w:tcMar>
              <w:top w:w="150" w:type="dxa"/>
              <w:left w:w="240" w:type="dxa"/>
              <w:bottom w:w="150" w:type="dxa"/>
              <w:right w:w="0" w:type="dxa"/>
            </w:tcMar>
          </w:tcPr>
          <w:p w14:paraId="6457AA14" w14:textId="77777777" w:rsidR="00B64A03" w:rsidRDefault="002A09F3">
            <w:r>
              <w:t>Высокий</w:t>
            </w:r>
          </w:p>
        </w:tc>
      </w:tr>
      <w:tr w:rsidR="00B64A03" w14:paraId="61CB2378" w14:textId="77777777">
        <w:tc>
          <w:tcPr>
            <w:tcW w:w="1207" w:type="dxa"/>
            <w:tcBorders>
              <w:bottom w:val="single" w:sz="6" w:space="0" w:color="000000"/>
            </w:tcBorders>
            <w:shd w:val="clear" w:color="auto" w:fill="FFFFFF"/>
            <w:tcMar>
              <w:top w:w="150" w:type="dxa"/>
              <w:left w:w="0" w:type="dxa"/>
              <w:bottom w:w="150" w:type="dxa"/>
              <w:right w:w="240" w:type="dxa"/>
            </w:tcMar>
          </w:tcPr>
          <w:p w14:paraId="25615E50" w14:textId="77777777" w:rsidR="00B64A03" w:rsidRDefault="002A09F3">
            <w:r>
              <w:t>FR-06</w:t>
            </w:r>
          </w:p>
        </w:tc>
        <w:tc>
          <w:tcPr>
            <w:tcW w:w="6009" w:type="dxa"/>
            <w:tcBorders>
              <w:bottom w:val="single" w:sz="6" w:space="0" w:color="000000"/>
            </w:tcBorders>
            <w:shd w:val="clear" w:color="auto" w:fill="FFFFFF"/>
            <w:tcMar>
              <w:top w:w="150" w:type="dxa"/>
              <w:left w:w="240" w:type="dxa"/>
              <w:bottom w:w="150" w:type="dxa"/>
              <w:right w:w="240" w:type="dxa"/>
            </w:tcMar>
          </w:tcPr>
          <w:p w14:paraId="236BEF0B" w14:textId="77777777" w:rsidR="00B64A03" w:rsidRDefault="002A09F3">
            <w:r>
              <w:t>Система выполняет асинхронный анализ текста и возвращает список рекомендованных подразделений</w:t>
            </w:r>
          </w:p>
        </w:tc>
        <w:tc>
          <w:tcPr>
            <w:tcW w:w="4055" w:type="dxa"/>
            <w:tcBorders>
              <w:bottom w:val="single" w:sz="6" w:space="0" w:color="000000"/>
            </w:tcBorders>
            <w:shd w:val="clear" w:color="auto" w:fill="FFFFFF"/>
            <w:tcMar>
              <w:top w:w="150" w:type="dxa"/>
              <w:left w:w="240" w:type="dxa"/>
              <w:bottom w:w="150" w:type="dxa"/>
              <w:right w:w="0" w:type="dxa"/>
            </w:tcMar>
          </w:tcPr>
          <w:p w14:paraId="7EBE3383" w14:textId="77777777" w:rsidR="00B64A03" w:rsidRDefault="002A09F3">
            <w:r>
              <w:t>Высокий</w:t>
            </w:r>
          </w:p>
        </w:tc>
      </w:tr>
      <w:tr w:rsidR="00B64A03" w14:paraId="64DE8E4D" w14:textId="77777777">
        <w:tc>
          <w:tcPr>
            <w:tcW w:w="1207" w:type="dxa"/>
            <w:tcBorders>
              <w:bottom w:val="single" w:sz="6" w:space="0" w:color="000000"/>
            </w:tcBorders>
            <w:shd w:val="clear" w:color="auto" w:fill="FFFFFF"/>
            <w:tcMar>
              <w:top w:w="150" w:type="dxa"/>
              <w:left w:w="0" w:type="dxa"/>
              <w:bottom w:w="150" w:type="dxa"/>
              <w:right w:w="240" w:type="dxa"/>
            </w:tcMar>
          </w:tcPr>
          <w:p w14:paraId="491CAE9A" w14:textId="77777777" w:rsidR="00B64A03" w:rsidRDefault="002A09F3">
            <w:r>
              <w:t>FR-07</w:t>
            </w:r>
          </w:p>
        </w:tc>
        <w:tc>
          <w:tcPr>
            <w:tcW w:w="6009" w:type="dxa"/>
            <w:tcBorders>
              <w:bottom w:val="single" w:sz="6" w:space="0" w:color="000000"/>
            </w:tcBorders>
            <w:shd w:val="clear" w:color="auto" w:fill="FFFFFF"/>
            <w:tcMar>
              <w:top w:w="150" w:type="dxa"/>
              <w:left w:w="240" w:type="dxa"/>
              <w:bottom w:w="150" w:type="dxa"/>
              <w:right w:w="240" w:type="dxa"/>
            </w:tcMar>
          </w:tcPr>
          <w:p w14:paraId="6C631505" w14:textId="77777777" w:rsidR="00B64A03" w:rsidRDefault="002A09F3">
            <w:r>
              <w:t>Результаты анализа отображаются инициатору и администратору</w:t>
            </w:r>
          </w:p>
        </w:tc>
        <w:tc>
          <w:tcPr>
            <w:tcW w:w="4055" w:type="dxa"/>
            <w:tcBorders>
              <w:bottom w:val="single" w:sz="6" w:space="0" w:color="000000"/>
            </w:tcBorders>
            <w:shd w:val="clear" w:color="auto" w:fill="FFFFFF"/>
            <w:tcMar>
              <w:top w:w="150" w:type="dxa"/>
              <w:left w:w="240" w:type="dxa"/>
              <w:bottom w:w="150" w:type="dxa"/>
              <w:right w:w="0" w:type="dxa"/>
            </w:tcMar>
          </w:tcPr>
          <w:p w14:paraId="302A612B" w14:textId="77777777" w:rsidR="00B64A03" w:rsidRDefault="002A09F3">
            <w:r>
              <w:t>Высокий</w:t>
            </w:r>
          </w:p>
        </w:tc>
      </w:tr>
      <w:tr w:rsidR="00B64A03" w14:paraId="61AACFD0" w14:textId="77777777">
        <w:tc>
          <w:tcPr>
            <w:tcW w:w="1207" w:type="dxa"/>
            <w:tcBorders>
              <w:bottom w:val="single" w:sz="6" w:space="0" w:color="000000"/>
            </w:tcBorders>
            <w:shd w:val="clear" w:color="auto" w:fill="FFFFFF"/>
            <w:tcMar>
              <w:top w:w="150" w:type="dxa"/>
              <w:left w:w="0" w:type="dxa"/>
              <w:bottom w:w="150" w:type="dxa"/>
              <w:right w:w="240" w:type="dxa"/>
            </w:tcMar>
          </w:tcPr>
          <w:p w14:paraId="49061E74" w14:textId="77777777" w:rsidR="00B64A03" w:rsidRDefault="002A09F3">
            <w:r>
              <w:t>FR-08</w:t>
            </w:r>
          </w:p>
        </w:tc>
        <w:tc>
          <w:tcPr>
            <w:tcW w:w="6009" w:type="dxa"/>
            <w:tcBorders>
              <w:bottom w:val="single" w:sz="6" w:space="0" w:color="000000"/>
            </w:tcBorders>
            <w:shd w:val="clear" w:color="auto" w:fill="FFFFFF"/>
            <w:tcMar>
              <w:top w:w="150" w:type="dxa"/>
              <w:left w:w="240" w:type="dxa"/>
              <w:bottom w:w="150" w:type="dxa"/>
              <w:right w:w="240" w:type="dxa"/>
            </w:tcMar>
          </w:tcPr>
          <w:p w14:paraId="0ACB12FF" w14:textId="77777777" w:rsidR="00B64A03" w:rsidRDefault="002A09F3">
            <w:r>
              <w:t>На основе анализа система формирует шаблоны адресных писем</w:t>
            </w:r>
          </w:p>
        </w:tc>
        <w:tc>
          <w:tcPr>
            <w:tcW w:w="4055" w:type="dxa"/>
            <w:tcBorders>
              <w:bottom w:val="single" w:sz="6" w:space="0" w:color="000000"/>
            </w:tcBorders>
            <w:shd w:val="clear" w:color="auto" w:fill="FFFFFF"/>
            <w:tcMar>
              <w:top w:w="150" w:type="dxa"/>
              <w:left w:w="240" w:type="dxa"/>
              <w:bottom w:w="150" w:type="dxa"/>
              <w:right w:w="0" w:type="dxa"/>
            </w:tcMar>
          </w:tcPr>
          <w:p w14:paraId="2BA485B9" w14:textId="77777777" w:rsidR="00B64A03" w:rsidRDefault="002A09F3">
            <w:r>
              <w:t>Высокий</w:t>
            </w:r>
          </w:p>
        </w:tc>
      </w:tr>
      <w:tr w:rsidR="00B64A03" w14:paraId="48790ABD" w14:textId="77777777">
        <w:tc>
          <w:tcPr>
            <w:tcW w:w="1207" w:type="dxa"/>
            <w:tcBorders>
              <w:bottom w:val="single" w:sz="6" w:space="0" w:color="000000"/>
            </w:tcBorders>
            <w:shd w:val="clear" w:color="auto" w:fill="FFFFFF"/>
            <w:tcMar>
              <w:top w:w="150" w:type="dxa"/>
              <w:left w:w="0" w:type="dxa"/>
              <w:bottom w:w="150" w:type="dxa"/>
              <w:right w:w="240" w:type="dxa"/>
            </w:tcMar>
          </w:tcPr>
          <w:p w14:paraId="70F354F2" w14:textId="77777777" w:rsidR="00B64A03" w:rsidRDefault="002A09F3">
            <w:r>
              <w:t>FR-09</w:t>
            </w:r>
          </w:p>
        </w:tc>
        <w:tc>
          <w:tcPr>
            <w:tcW w:w="6009" w:type="dxa"/>
            <w:tcBorders>
              <w:bottom w:val="single" w:sz="6" w:space="0" w:color="000000"/>
            </w:tcBorders>
            <w:shd w:val="clear" w:color="auto" w:fill="FFFFFF"/>
            <w:tcMar>
              <w:top w:w="150" w:type="dxa"/>
              <w:left w:w="240" w:type="dxa"/>
              <w:bottom w:w="150" w:type="dxa"/>
              <w:right w:w="240" w:type="dxa"/>
            </w:tcMar>
          </w:tcPr>
          <w:p w14:paraId="420EC7D1" w14:textId="77777777" w:rsidR="00B64A03" w:rsidRDefault="002A09F3">
            <w:r>
              <w:t>Пользователь с правами ADMIN может редактировать текст письма перед рассылкой</w:t>
            </w:r>
          </w:p>
        </w:tc>
        <w:tc>
          <w:tcPr>
            <w:tcW w:w="4055" w:type="dxa"/>
            <w:tcBorders>
              <w:bottom w:val="single" w:sz="6" w:space="0" w:color="000000"/>
            </w:tcBorders>
            <w:shd w:val="clear" w:color="auto" w:fill="FFFFFF"/>
            <w:tcMar>
              <w:top w:w="150" w:type="dxa"/>
              <w:left w:w="240" w:type="dxa"/>
              <w:bottom w:w="150" w:type="dxa"/>
              <w:right w:w="0" w:type="dxa"/>
            </w:tcMar>
          </w:tcPr>
          <w:p w14:paraId="4C147929" w14:textId="77777777" w:rsidR="00B64A03" w:rsidRDefault="002A09F3">
            <w:r>
              <w:t>Средний</w:t>
            </w:r>
          </w:p>
        </w:tc>
      </w:tr>
      <w:tr w:rsidR="00B64A03" w14:paraId="5D863576" w14:textId="77777777">
        <w:tc>
          <w:tcPr>
            <w:tcW w:w="1207" w:type="dxa"/>
            <w:tcBorders>
              <w:bottom w:val="single" w:sz="6" w:space="0" w:color="000000"/>
            </w:tcBorders>
            <w:shd w:val="clear" w:color="auto" w:fill="FFFFFF"/>
            <w:tcMar>
              <w:top w:w="150" w:type="dxa"/>
              <w:left w:w="0" w:type="dxa"/>
              <w:bottom w:w="150" w:type="dxa"/>
              <w:right w:w="240" w:type="dxa"/>
            </w:tcMar>
          </w:tcPr>
          <w:p w14:paraId="669DBD43" w14:textId="77777777" w:rsidR="00B64A03" w:rsidRDefault="002A09F3">
            <w:r>
              <w:t>FR-10</w:t>
            </w:r>
          </w:p>
        </w:tc>
        <w:tc>
          <w:tcPr>
            <w:tcW w:w="6009" w:type="dxa"/>
            <w:tcBorders>
              <w:bottom w:val="single" w:sz="6" w:space="0" w:color="000000"/>
            </w:tcBorders>
            <w:shd w:val="clear" w:color="auto" w:fill="FFFFFF"/>
            <w:tcMar>
              <w:top w:w="150" w:type="dxa"/>
              <w:left w:w="240" w:type="dxa"/>
              <w:bottom w:w="150" w:type="dxa"/>
              <w:right w:w="240" w:type="dxa"/>
            </w:tcMar>
          </w:tcPr>
          <w:p w14:paraId="4C72B3EB" w14:textId="77777777" w:rsidR="00B64A03" w:rsidRDefault="002A09F3">
            <w:r>
              <w:t>Система генерирует уникальные токены и встраивает их в ссылки в письмах</w:t>
            </w:r>
          </w:p>
        </w:tc>
        <w:tc>
          <w:tcPr>
            <w:tcW w:w="4055" w:type="dxa"/>
            <w:tcBorders>
              <w:bottom w:val="single" w:sz="6" w:space="0" w:color="000000"/>
            </w:tcBorders>
            <w:shd w:val="clear" w:color="auto" w:fill="FFFFFF"/>
            <w:tcMar>
              <w:top w:w="150" w:type="dxa"/>
              <w:left w:w="240" w:type="dxa"/>
              <w:bottom w:w="150" w:type="dxa"/>
              <w:right w:w="0" w:type="dxa"/>
            </w:tcMar>
          </w:tcPr>
          <w:p w14:paraId="676D0C85" w14:textId="77777777" w:rsidR="00B64A03" w:rsidRDefault="002A09F3">
            <w:r>
              <w:t>Высокий</w:t>
            </w:r>
          </w:p>
        </w:tc>
      </w:tr>
      <w:tr w:rsidR="00B64A03" w14:paraId="47864D18" w14:textId="77777777">
        <w:tc>
          <w:tcPr>
            <w:tcW w:w="1207" w:type="dxa"/>
            <w:tcBorders>
              <w:bottom w:val="single" w:sz="6" w:space="0" w:color="000000"/>
            </w:tcBorders>
            <w:shd w:val="clear" w:color="auto" w:fill="FFFFFF"/>
            <w:tcMar>
              <w:top w:w="150" w:type="dxa"/>
              <w:left w:w="0" w:type="dxa"/>
              <w:bottom w:w="150" w:type="dxa"/>
              <w:right w:w="240" w:type="dxa"/>
            </w:tcMar>
          </w:tcPr>
          <w:p w14:paraId="00BDE655" w14:textId="77777777" w:rsidR="00B64A03" w:rsidRDefault="002A09F3">
            <w:r>
              <w:t>FR-11</w:t>
            </w:r>
          </w:p>
        </w:tc>
        <w:tc>
          <w:tcPr>
            <w:tcW w:w="6009" w:type="dxa"/>
            <w:tcBorders>
              <w:bottom w:val="single" w:sz="6" w:space="0" w:color="000000"/>
            </w:tcBorders>
            <w:shd w:val="clear" w:color="auto" w:fill="FFFFFF"/>
            <w:tcMar>
              <w:top w:w="150" w:type="dxa"/>
              <w:left w:w="240" w:type="dxa"/>
              <w:bottom w:w="150" w:type="dxa"/>
              <w:right w:w="240" w:type="dxa"/>
            </w:tcMar>
          </w:tcPr>
          <w:p w14:paraId="103A0507" w14:textId="77777777" w:rsidR="00B64A03" w:rsidRDefault="002A09F3">
            <w:r>
              <w:t>Система выполняет массовую отправку писем через SMTP асинхронно</w:t>
            </w:r>
          </w:p>
        </w:tc>
        <w:tc>
          <w:tcPr>
            <w:tcW w:w="4055" w:type="dxa"/>
            <w:tcBorders>
              <w:bottom w:val="single" w:sz="6" w:space="0" w:color="000000"/>
            </w:tcBorders>
            <w:shd w:val="clear" w:color="auto" w:fill="FFFFFF"/>
            <w:tcMar>
              <w:top w:w="150" w:type="dxa"/>
              <w:left w:w="240" w:type="dxa"/>
              <w:bottom w:w="150" w:type="dxa"/>
              <w:right w:w="0" w:type="dxa"/>
            </w:tcMar>
          </w:tcPr>
          <w:p w14:paraId="1CDF8F39" w14:textId="77777777" w:rsidR="00B64A03" w:rsidRDefault="002A09F3">
            <w:r>
              <w:t>Высокий</w:t>
            </w:r>
          </w:p>
        </w:tc>
      </w:tr>
      <w:tr w:rsidR="00B64A03" w14:paraId="0438F4F8" w14:textId="77777777">
        <w:tc>
          <w:tcPr>
            <w:tcW w:w="1207" w:type="dxa"/>
            <w:tcBorders>
              <w:bottom w:val="single" w:sz="6" w:space="0" w:color="000000"/>
            </w:tcBorders>
            <w:shd w:val="clear" w:color="auto" w:fill="FFFFFF"/>
            <w:tcMar>
              <w:top w:w="150" w:type="dxa"/>
              <w:left w:w="0" w:type="dxa"/>
              <w:bottom w:w="150" w:type="dxa"/>
              <w:right w:w="240" w:type="dxa"/>
            </w:tcMar>
          </w:tcPr>
          <w:p w14:paraId="06486993" w14:textId="77777777" w:rsidR="00B64A03" w:rsidRDefault="002A09F3">
            <w:r>
              <w:t>FR-12</w:t>
            </w:r>
          </w:p>
        </w:tc>
        <w:tc>
          <w:tcPr>
            <w:tcW w:w="6009" w:type="dxa"/>
            <w:tcBorders>
              <w:bottom w:val="single" w:sz="6" w:space="0" w:color="000000"/>
            </w:tcBorders>
            <w:shd w:val="clear" w:color="auto" w:fill="FFFFFF"/>
            <w:tcMar>
              <w:top w:w="150" w:type="dxa"/>
              <w:left w:w="240" w:type="dxa"/>
              <w:bottom w:w="150" w:type="dxa"/>
              <w:right w:w="240" w:type="dxa"/>
            </w:tcMar>
          </w:tcPr>
          <w:p w14:paraId="2306F216" w14:textId="77777777" w:rsidR="00B64A03" w:rsidRDefault="002A09F3">
            <w:r>
              <w:t>Внешний пользователь по токену может просмотреть краткую информацию о проекте</w:t>
            </w:r>
          </w:p>
        </w:tc>
        <w:tc>
          <w:tcPr>
            <w:tcW w:w="4055" w:type="dxa"/>
            <w:tcBorders>
              <w:bottom w:val="single" w:sz="6" w:space="0" w:color="000000"/>
            </w:tcBorders>
            <w:shd w:val="clear" w:color="auto" w:fill="FFFFFF"/>
            <w:tcMar>
              <w:top w:w="150" w:type="dxa"/>
              <w:left w:w="240" w:type="dxa"/>
              <w:bottom w:w="150" w:type="dxa"/>
              <w:right w:w="0" w:type="dxa"/>
            </w:tcMar>
          </w:tcPr>
          <w:p w14:paraId="5C820CFC" w14:textId="77777777" w:rsidR="00B64A03" w:rsidRDefault="002A09F3">
            <w:r>
              <w:t>Высокий</w:t>
            </w:r>
          </w:p>
        </w:tc>
      </w:tr>
      <w:tr w:rsidR="00B64A03" w14:paraId="1DFD1AC1" w14:textId="77777777">
        <w:tc>
          <w:tcPr>
            <w:tcW w:w="1207" w:type="dxa"/>
            <w:tcBorders>
              <w:bottom w:val="single" w:sz="6" w:space="0" w:color="000000"/>
            </w:tcBorders>
            <w:shd w:val="clear" w:color="auto" w:fill="FFFFFF"/>
            <w:tcMar>
              <w:top w:w="150" w:type="dxa"/>
              <w:left w:w="0" w:type="dxa"/>
              <w:bottom w:w="150" w:type="dxa"/>
              <w:right w:w="240" w:type="dxa"/>
            </w:tcMar>
          </w:tcPr>
          <w:p w14:paraId="181A8445" w14:textId="77777777" w:rsidR="00B64A03" w:rsidRDefault="002A09F3">
            <w:r>
              <w:t>FR-13</w:t>
            </w:r>
          </w:p>
        </w:tc>
        <w:tc>
          <w:tcPr>
            <w:tcW w:w="6009" w:type="dxa"/>
            <w:tcBorders>
              <w:bottom w:val="single" w:sz="6" w:space="0" w:color="000000"/>
            </w:tcBorders>
            <w:shd w:val="clear" w:color="auto" w:fill="FFFFFF"/>
            <w:tcMar>
              <w:top w:w="150" w:type="dxa"/>
              <w:left w:w="240" w:type="dxa"/>
              <w:bottom w:w="150" w:type="dxa"/>
              <w:right w:w="240" w:type="dxa"/>
            </w:tcMar>
          </w:tcPr>
          <w:p w14:paraId="4C510B0E" w14:textId="77777777" w:rsidR="00B64A03" w:rsidRDefault="002A09F3">
            <w:r>
              <w:t>Внешний пользователь может оставить отклик (принять/отклонить/комментарий)</w:t>
            </w:r>
          </w:p>
        </w:tc>
        <w:tc>
          <w:tcPr>
            <w:tcW w:w="4055" w:type="dxa"/>
            <w:tcBorders>
              <w:bottom w:val="single" w:sz="6" w:space="0" w:color="000000"/>
            </w:tcBorders>
            <w:shd w:val="clear" w:color="auto" w:fill="FFFFFF"/>
            <w:tcMar>
              <w:top w:w="150" w:type="dxa"/>
              <w:left w:w="240" w:type="dxa"/>
              <w:bottom w:w="150" w:type="dxa"/>
              <w:right w:w="0" w:type="dxa"/>
            </w:tcMar>
          </w:tcPr>
          <w:p w14:paraId="5C21F692" w14:textId="77777777" w:rsidR="00B64A03" w:rsidRDefault="002A09F3">
            <w:r>
              <w:t>Высокий</w:t>
            </w:r>
          </w:p>
        </w:tc>
      </w:tr>
      <w:tr w:rsidR="00B64A03" w14:paraId="3B4D2DB1" w14:textId="77777777">
        <w:tc>
          <w:tcPr>
            <w:tcW w:w="1207" w:type="dxa"/>
            <w:tcBorders>
              <w:bottom w:val="single" w:sz="6" w:space="0" w:color="000000"/>
            </w:tcBorders>
            <w:shd w:val="clear" w:color="auto" w:fill="FFFFFF"/>
            <w:tcMar>
              <w:top w:w="150" w:type="dxa"/>
              <w:left w:w="0" w:type="dxa"/>
              <w:bottom w:w="150" w:type="dxa"/>
              <w:right w:w="240" w:type="dxa"/>
            </w:tcMar>
          </w:tcPr>
          <w:p w14:paraId="11F81E2E" w14:textId="77777777" w:rsidR="00B64A03" w:rsidRDefault="002A09F3">
            <w:r>
              <w:t>FR-14</w:t>
            </w:r>
          </w:p>
        </w:tc>
        <w:tc>
          <w:tcPr>
            <w:tcW w:w="6009" w:type="dxa"/>
            <w:tcBorders>
              <w:bottom w:val="single" w:sz="6" w:space="0" w:color="000000"/>
            </w:tcBorders>
            <w:shd w:val="clear" w:color="auto" w:fill="FFFFFF"/>
            <w:tcMar>
              <w:top w:w="150" w:type="dxa"/>
              <w:left w:w="240" w:type="dxa"/>
              <w:bottom w:w="150" w:type="dxa"/>
              <w:right w:w="240" w:type="dxa"/>
            </w:tcMar>
          </w:tcPr>
          <w:p w14:paraId="76AA89CC" w14:textId="77777777" w:rsidR="00B64A03" w:rsidRDefault="002A09F3">
            <w:r>
              <w:t>Повторный отклик по одному токену блокируется</w:t>
            </w:r>
          </w:p>
        </w:tc>
        <w:tc>
          <w:tcPr>
            <w:tcW w:w="4055" w:type="dxa"/>
            <w:tcBorders>
              <w:bottom w:val="single" w:sz="6" w:space="0" w:color="000000"/>
            </w:tcBorders>
            <w:shd w:val="clear" w:color="auto" w:fill="FFFFFF"/>
            <w:tcMar>
              <w:top w:w="150" w:type="dxa"/>
              <w:left w:w="240" w:type="dxa"/>
              <w:bottom w:w="150" w:type="dxa"/>
              <w:right w:w="0" w:type="dxa"/>
            </w:tcMar>
          </w:tcPr>
          <w:p w14:paraId="07755511" w14:textId="77777777" w:rsidR="00B64A03" w:rsidRDefault="002A09F3">
            <w:r>
              <w:t>Высокий</w:t>
            </w:r>
          </w:p>
        </w:tc>
      </w:tr>
      <w:tr w:rsidR="00B64A03" w14:paraId="24218A3F" w14:textId="77777777">
        <w:tc>
          <w:tcPr>
            <w:tcW w:w="1207" w:type="dxa"/>
            <w:tcBorders>
              <w:bottom w:val="single" w:sz="6" w:space="0" w:color="000000"/>
            </w:tcBorders>
            <w:shd w:val="clear" w:color="auto" w:fill="FFFFFF"/>
            <w:tcMar>
              <w:top w:w="150" w:type="dxa"/>
              <w:left w:w="0" w:type="dxa"/>
              <w:bottom w:w="150" w:type="dxa"/>
              <w:right w:w="240" w:type="dxa"/>
            </w:tcMar>
          </w:tcPr>
          <w:p w14:paraId="1ADEA1D7" w14:textId="77777777" w:rsidR="00B64A03" w:rsidRDefault="002A09F3">
            <w:r>
              <w:t>FR-15</w:t>
            </w:r>
          </w:p>
        </w:tc>
        <w:tc>
          <w:tcPr>
            <w:tcW w:w="6009" w:type="dxa"/>
            <w:tcBorders>
              <w:bottom w:val="single" w:sz="6" w:space="0" w:color="000000"/>
            </w:tcBorders>
            <w:shd w:val="clear" w:color="auto" w:fill="FFFFFF"/>
            <w:tcMar>
              <w:top w:w="150" w:type="dxa"/>
              <w:left w:w="240" w:type="dxa"/>
              <w:bottom w:w="150" w:type="dxa"/>
              <w:right w:w="240" w:type="dxa"/>
            </w:tcMar>
          </w:tcPr>
          <w:p w14:paraId="69F373F8" w14:textId="77777777" w:rsidR="00B64A03" w:rsidRDefault="002A09F3">
            <w:r>
              <w:t>Инициатор получает уведомление при поступлении отклика</w:t>
            </w:r>
          </w:p>
        </w:tc>
        <w:tc>
          <w:tcPr>
            <w:tcW w:w="4055" w:type="dxa"/>
            <w:tcBorders>
              <w:bottom w:val="single" w:sz="6" w:space="0" w:color="000000"/>
            </w:tcBorders>
            <w:shd w:val="clear" w:color="auto" w:fill="FFFFFF"/>
            <w:tcMar>
              <w:top w:w="150" w:type="dxa"/>
              <w:left w:w="240" w:type="dxa"/>
              <w:bottom w:w="150" w:type="dxa"/>
              <w:right w:w="0" w:type="dxa"/>
            </w:tcMar>
          </w:tcPr>
          <w:p w14:paraId="3BB4DA25" w14:textId="77777777" w:rsidR="00B64A03" w:rsidRDefault="002A09F3">
            <w:r>
              <w:t>Средний</w:t>
            </w:r>
          </w:p>
        </w:tc>
      </w:tr>
      <w:tr w:rsidR="00B64A03" w14:paraId="6F4C6645" w14:textId="77777777">
        <w:tc>
          <w:tcPr>
            <w:tcW w:w="1207" w:type="dxa"/>
            <w:tcBorders>
              <w:bottom w:val="single" w:sz="6" w:space="0" w:color="000000"/>
            </w:tcBorders>
            <w:shd w:val="clear" w:color="auto" w:fill="FFFFFF"/>
            <w:tcMar>
              <w:top w:w="150" w:type="dxa"/>
              <w:left w:w="0" w:type="dxa"/>
              <w:bottom w:w="150" w:type="dxa"/>
              <w:right w:w="240" w:type="dxa"/>
            </w:tcMar>
          </w:tcPr>
          <w:p w14:paraId="35C14D55" w14:textId="77777777" w:rsidR="00B64A03" w:rsidRDefault="002A09F3">
            <w:r>
              <w:lastRenderedPageBreak/>
              <w:t>FR-16</w:t>
            </w:r>
          </w:p>
        </w:tc>
        <w:tc>
          <w:tcPr>
            <w:tcW w:w="6009" w:type="dxa"/>
            <w:tcBorders>
              <w:bottom w:val="single" w:sz="6" w:space="0" w:color="000000"/>
            </w:tcBorders>
            <w:shd w:val="clear" w:color="auto" w:fill="FFFFFF"/>
            <w:tcMar>
              <w:top w:w="150" w:type="dxa"/>
              <w:left w:w="240" w:type="dxa"/>
              <w:bottom w:w="150" w:type="dxa"/>
              <w:right w:w="240" w:type="dxa"/>
            </w:tcMar>
          </w:tcPr>
          <w:p w14:paraId="53C0836E" w14:textId="77777777" w:rsidR="00B64A03" w:rsidRDefault="002A09F3">
            <w:r>
              <w:t>Администратор управляет справочником подразделений (CRUD)</w:t>
            </w:r>
          </w:p>
        </w:tc>
        <w:tc>
          <w:tcPr>
            <w:tcW w:w="4055" w:type="dxa"/>
            <w:tcBorders>
              <w:bottom w:val="single" w:sz="6" w:space="0" w:color="000000"/>
            </w:tcBorders>
            <w:shd w:val="clear" w:color="auto" w:fill="FFFFFF"/>
            <w:tcMar>
              <w:top w:w="150" w:type="dxa"/>
              <w:left w:w="240" w:type="dxa"/>
              <w:bottom w:w="150" w:type="dxa"/>
              <w:right w:w="0" w:type="dxa"/>
            </w:tcMar>
          </w:tcPr>
          <w:p w14:paraId="1B7EECBA" w14:textId="77777777" w:rsidR="00B64A03" w:rsidRDefault="002A09F3">
            <w:r>
              <w:t>Высокий</w:t>
            </w:r>
          </w:p>
        </w:tc>
      </w:tr>
      <w:tr w:rsidR="00B64A03" w14:paraId="3FB377E2" w14:textId="77777777">
        <w:tc>
          <w:tcPr>
            <w:tcW w:w="1207" w:type="dxa"/>
            <w:tcBorders>
              <w:bottom w:val="single" w:sz="6" w:space="0" w:color="000000"/>
            </w:tcBorders>
            <w:shd w:val="clear" w:color="auto" w:fill="FFFFFF"/>
            <w:tcMar>
              <w:top w:w="150" w:type="dxa"/>
              <w:left w:w="0" w:type="dxa"/>
              <w:bottom w:w="150" w:type="dxa"/>
              <w:right w:w="240" w:type="dxa"/>
            </w:tcMar>
          </w:tcPr>
          <w:p w14:paraId="60FC68F0" w14:textId="77777777" w:rsidR="00B64A03" w:rsidRDefault="002A09F3">
            <w:r>
              <w:t>FR-17</w:t>
            </w:r>
          </w:p>
        </w:tc>
        <w:tc>
          <w:tcPr>
            <w:tcW w:w="6009" w:type="dxa"/>
            <w:tcBorders>
              <w:bottom w:val="single" w:sz="6" w:space="0" w:color="000000"/>
            </w:tcBorders>
            <w:shd w:val="clear" w:color="auto" w:fill="FFFFFF"/>
            <w:tcMar>
              <w:top w:w="150" w:type="dxa"/>
              <w:left w:w="240" w:type="dxa"/>
              <w:bottom w:w="150" w:type="dxa"/>
              <w:right w:w="240" w:type="dxa"/>
            </w:tcMar>
          </w:tcPr>
          <w:p w14:paraId="4E52B367" w14:textId="77777777" w:rsidR="00B64A03" w:rsidRDefault="002A09F3">
            <w:r>
              <w:t>Администратор может просматривать все запросы и отклики</w:t>
            </w:r>
          </w:p>
        </w:tc>
        <w:tc>
          <w:tcPr>
            <w:tcW w:w="4055" w:type="dxa"/>
            <w:tcBorders>
              <w:bottom w:val="single" w:sz="6" w:space="0" w:color="000000"/>
            </w:tcBorders>
            <w:shd w:val="clear" w:color="auto" w:fill="FFFFFF"/>
            <w:tcMar>
              <w:top w:w="150" w:type="dxa"/>
              <w:left w:w="240" w:type="dxa"/>
              <w:bottom w:w="150" w:type="dxa"/>
              <w:right w:w="0" w:type="dxa"/>
            </w:tcMar>
          </w:tcPr>
          <w:p w14:paraId="55B945B1" w14:textId="77777777" w:rsidR="00B64A03" w:rsidRDefault="002A09F3">
            <w:r>
              <w:t>Высокий</w:t>
            </w:r>
          </w:p>
        </w:tc>
      </w:tr>
      <w:tr w:rsidR="00B64A03" w14:paraId="3F64E04C" w14:textId="77777777">
        <w:tc>
          <w:tcPr>
            <w:tcW w:w="1207" w:type="dxa"/>
            <w:tcBorders>
              <w:bottom w:val="single" w:sz="6" w:space="0" w:color="000000"/>
            </w:tcBorders>
            <w:shd w:val="clear" w:color="auto" w:fill="FFFFFF"/>
            <w:tcMar>
              <w:top w:w="150" w:type="dxa"/>
              <w:left w:w="0" w:type="dxa"/>
              <w:bottom w:w="150" w:type="dxa"/>
              <w:right w:w="240" w:type="dxa"/>
            </w:tcMar>
          </w:tcPr>
          <w:p w14:paraId="630AF81C" w14:textId="77777777" w:rsidR="00B64A03" w:rsidRDefault="002A09F3">
            <w:r>
              <w:t>FR-18</w:t>
            </w:r>
          </w:p>
        </w:tc>
        <w:tc>
          <w:tcPr>
            <w:tcW w:w="6009" w:type="dxa"/>
            <w:tcBorders>
              <w:bottom w:val="single" w:sz="6" w:space="0" w:color="000000"/>
            </w:tcBorders>
            <w:shd w:val="clear" w:color="auto" w:fill="FFFFFF"/>
            <w:tcMar>
              <w:top w:w="150" w:type="dxa"/>
              <w:left w:w="240" w:type="dxa"/>
              <w:bottom w:w="150" w:type="dxa"/>
              <w:right w:w="240" w:type="dxa"/>
            </w:tcMar>
          </w:tcPr>
          <w:p w14:paraId="36DD304D" w14:textId="77777777" w:rsidR="00B64A03" w:rsidRDefault="002A09F3">
            <w:r>
              <w:t>Система позволяет повторно отправить письмо для отдельных подразделений</w:t>
            </w:r>
          </w:p>
        </w:tc>
        <w:tc>
          <w:tcPr>
            <w:tcW w:w="4055" w:type="dxa"/>
            <w:tcBorders>
              <w:bottom w:val="single" w:sz="6" w:space="0" w:color="000000"/>
            </w:tcBorders>
            <w:shd w:val="clear" w:color="auto" w:fill="FFFFFF"/>
            <w:tcMar>
              <w:top w:w="150" w:type="dxa"/>
              <w:left w:w="240" w:type="dxa"/>
              <w:bottom w:w="150" w:type="dxa"/>
              <w:right w:w="0" w:type="dxa"/>
            </w:tcMar>
          </w:tcPr>
          <w:p w14:paraId="5E92C38D" w14:textId="77777777" w:rsidR="00B64A03" w:rsidRDefault="002A09F3">
            <w:r>
              <w:t>Средний</w:t>
            </w:r>
          </w:p>
        </w:tc>
      </w:tr>
      <w:tr w:rsidR="00B64A03" w14:paraId="27881605" w14:textId="77777777">
        <w:tc>
          <w:tcPr>
            <w:tcW w:w="1207" w:type="dxa"/>
            <w:tcBorders>
              <w:bottom w:val="single" w:sz="6" w:space="0" w:color="000000"/>
            </w:tcBorders>
            <w:shd w:val="clear" w:color="auto" w:fill="FFFFFF"/>
            <w:tcMar>
              <w:top w:w="150" w:type="dxa"/>
              <w:left w:w="0" w:type="dxa"/>
              <w:bottom w:w="150" w:type="dxa"/>
              <w:right w:w="240" w:type="dxa"/>
            </w:tcMar>
          </w:tcPr>
          <w:p w14:paraId="1BFDA8EA" w14:textId="77777777" w:rsidR="00B64A03" w:rsidRDefault="002A09F3">
            <w:r>
              <w:t>FR-19</w:t>
            </w:r>
          </w:p>
        </w:tc>
        <w:tc>
          <w:tcPr>
            <w:tcW w:w="6009" w:type="dxa"/>
            <w:tcBorders>
              <w:bottom w:val="single" w:sz="6" w:space="0" w:color="000000"/>
            </w:tcBorders>
            <w:shd w:val="clear" w:color="auto" w:fill="FFFFFF"/>
            <w:tcMar>
              <w:top w:w="150" w:type="dxa"/>
              <w:left w:w="240" w:type="dxa"/>
              <w:bottom w:w="150" w:type="dxa"/>
              <w:right w:w="240" w:type="dxa"/>
            </w:tcMar>
          </w:tcPr>
          <w:p w14:paraId="6D45E2A9" w14:textId="77777777" w:rsidR="00B64A03" w:rsidRDefault="002A09F3">
            <w:r>
              <w:t>Статус запроса обновляется автоматически на основе завершённых задач</w:t>
            </w:r>
          </w:p>
        </w:tc>
        <w:tc>
          <w:tcPr>
            <w:tcW w:w="4055" w:type="dxa"/>
            <w:tcBorders>
              <w:bottom w:val="single" w:sz="6" w:space="0" w:color="000000"/>
            </w:tcBorders>
            <w:shd w:val="clear" w:color="auto" w:fill="FFFFFF"/>
            <w:tcMar>
              <w:top w:w="150" w:type="dxa"/>
              <w:left w:w="240" w:type="dxa"/>
              <w:bottom w:w="150" w:type="dxa"/>
              <w:right w:w="0" w:type="dxa"/>
            </w:tcMar>
          </w:tcPr>
          <w:p w14:paraId="2D155C71" w14:textId="77777777" w:rsidR="00B64A03" w:rsidRDefault="002A09F3">
            <w:r>
              <w:t>Высокий</w:t>
            </w:r>
          </w:p>
        </w:tc>
      </w:tr>
    </w:tbl>
    <w:p w14:paraId="2AC195C9" w14:textId="77777777" w:rsidR="00B209B8" w:rsidRDefault="00B209B8">
      <w:pPr>
        <w:spacing w:after="240"/>
      </w:pPr>
    </w:p>
    <w:p w14:paraId="5F9BFCEF" w14:textId="77777777" w:rsidR="00B209B8" w:rsidRDefault="002A09F3">
      <w:pPr>
        <w:spacing w:before="160" w:after="80"/>
        <w:rPr>
          <w:rFonts w:ascii="Aptos Display" w:eastAsia="Aptos Display" w:hAnsi="Aptos Display" w:cs="Aptos Display"/>
          <w:color w:val="0F4761"/>
          <w:sz w:val="32"/>
        </w:rPr>
      </w:pPr>
      <w:r>
        <w:rPr>
          <w:rFonts w:ascii="Aptos Display" w:eastAsia="Aptos Display" w:hAnsi="Aptos Display" w:cs="Aptos Display"/>
          <w:color w:val="0F4761"/>
          <w:sz w:val="32"/>
        </w:rPr>
        <w:t>2.3. Архитектура системы и взаимодействие компонентов</w:t>
      </w:r>
    </w:p>
    <w:p w14:paraId="7E435083" w14:textId="77777777" w:rsidR="00B209B8" w:rsidRDefault="002A09F3">
      <w:pPr>
        <w:spacing w:after="240"/>
      </w:pPr>
      <w:r>
        <w:t>Архитектура платформы «Проектория» построена по модели разделенного web-приложения, в котором пользовательский интерфейс, серверная бизнес-логика, хранилище данных и асинхронная обработка выделены в самостоятельные, но взаимосвязанные компоненты. Такой подход позволяет отделить задачи представления данных от задач доменной обработки, а также вынести ресурсоемкие и потенциально длительные операции из синхронного пользовательского запроса. Для внутренней системы, работающей с анализом текста, массовой рассылкой и фиксацией откликов, подобное разделение является принципиально значимым.</w:t>
      </w:r>
    </w:p>
    <w:p w14:paraId="77749CCF" w14:textId="77777777" w:rsidR="00B209B8" w:rsidRDefault="002A09F3">
      <w:pPr>
        <w:spacing w:after="240"/>
      </w:pPr>
      <w:r>
        <w:t>Клиентский слой реализован как отдельное приложение на базе Next.js. Его задача состоит в предоставлении интерфейсов для аутентификации, просмотра списка проектов, создания новой карточки, сопровождения аналитического workflow, работы с откликами и доступа к административным разделам. В архитектурном отношении frontend выступает как самостоятельный слой представления, обращающийся к backend API по HTTP. Важной особенностью является то, что состояние пользовательской сессии на клиенте строится не на прямом хранении access token в JavaScript-коде, а на взаимодействии с сервером через cookie-механизм, что согласуется с выбранной моделью безопасности.</w:t>
      </w:r>
    </w:p>
    <w:p w14:paraId="4FB0AEB4" w14:textId="77777777" w:rsidR="00B209B8" w:rsidRDefault="002A09F3">
      <w:pPr>
        <w:spacing w:after="240"/>
      </w:pPr>
      <w:r>
        <w:t>Серверный слой реализован на NestJS и организован по модульному принципу. Выделение отдельных модулей </w:t>
      </w:r>
      <w:r>
        <w:rPr>
          <w:sz w:val="22"/>
        </w:rPr>
        <w:t>auth</w:t>
      </w:r>
      <w:r>
        <w:t>, </w:t>
      </w:r>
      <w:r>
        <w:rPr>
          <w:sz w:val="22"/>
        </w:rPr>
        <w:t>users</w:t>
      </w:r>
      <w:r>
        <w:t>, </w:t>
      </w:r>
      <w:r>
        <w:rPr>
          <w:sz w:val="22"/>
        </w:rPr>
        <w:t>departments</w:t>
      </w:r>
      <w:r>
        <w:t>, </w:t>
      </w:r>
      <w:r>
        <w:rPr>
          <w:sz w:val="22"/>
        </w:rPr>
        <w:t>projects</w:t>
      </w:r>
      <w:r>
        <w:t>, </w:t>
      </w:r>
      <w:r>
        <w:rPr>
          <w:sz w:val="22"/>
        </w:rPr>
        <w:t>analysis</w:t>
      </w:r>
      <w:r>
        <w:t>, </w:t>
      </w:r>
      <w:r>
        <w:rPr>
          <w:sz w:val="22"/>
        </w:rPr>
        <w:t>mailings</w:t>
      </w:r>
      <w:r>
        <w:t>, </w:t>
      </w:r>
      <w:r>
        <w:rPr>
          <w:sz w:val="22"/>
        </w:rPr>
        <w:t>responses</w:t>
      </w:r>
      <w:r>
        <w:t>, </w:t>
      </w:r>
      <w:r>
        <w:rPr>
          <w:sz w:val="22"/>
        </w:rPr>
        <w:t>notifications</w:t>
      </w:r>
      <w:r>
        <w:t>, </w:t>
      </w:r>
      <w:r>
        <w:rPr>
          <w:sz w:val="22"/>
        </w:rPr>
        <w:t>system-settings</w:t>
      </w:r>
      <w:r>
        <w:t>, </w:t>
      </w:r>
      <w:r>
        <w:rPr>
          <w:sz w:val="22"/>
        </w:rPr>
        <w:t>llm</w:t>
      </w:r>
      <w:r>
        <w:t>, </w:t>
      </w:r>
      <w:r>
        <w:rPr>
          <w:sz w:val="22"/>
        </w:rPr>
        <w:t>n8n</w:t>
      </w:r>
      <w:r>
        <w:t>, </w:t>
      </w:r>
      <w:r>
        <w:rPr>
          <w:sz w:val="22"/>
        </w:rPr>
        <w:t>queues</w:t>
      </w:r>
      <w:r>
        <w:t> и </w:t>
      </w:r>
      <w:r>
        <w:rPr>
          <w:sz w:val="22"/>
        </w:rPr>
        <w:t>mail</w:t>
      </w:r>
      <w:r>
        <w:t xml:space="preserve"> показывает, что доменная логика декомпозирована по функциональным областям. Подобная структура позволяет изолировать ответственность отдельных частей системы и обеспечить расширяемость решения. Например, логика аутентификации отделена от логики работы с проектами, а логика интеграции с LLM-контуром отделена от общей схемы выполнения анализа. Для проектной главы это </w:t>
      </w:r>
      <w:r>
        <w:lastRenderedPageBreak/>
        <w:t>принципиально, поскольку свидетельствует о том, что архитектура строилась не как набор процедур в одном сервисе, а как организованная модульная система.</w:t>
      </w:r>
    </w:p>
    <w:p w14:paraId="482B12D2" w14:textId="77777777" w:rsidR="00B209B8" w:rsidRDefault="002A09F3">
      <w:pPr>
        <w:spacing w:after="240"/>
      </w:pPr>
      <w:r>
        <w:t>В качестве центрального хранилища данных используется PostgreSQL, а доступ к данным организован через Prisma ORM. Это решение обеспечивает явную и формализованную модель предметной области, зафиксированную в схеме данных. Применение Prisma дополнительно дисциплинирует проектирование, поскольку сущности, связи, индексы и ограничения описываются в едином декларативном виде, а затем транслируются в физическую структуру базы данных. Для магистерской работы это важно, поскольку позволяет показать прямую связь между концептуальной моделью предметной области и ее программной реализацией.</w:t>
      </w:r>
    </w:p>
    <w:p w14:paraId="377DDD8D" w14:textId="77777777" w:rsidR="00B209B8" w:rsidRDefault="002A09F3">
      <w:pPr>
        <w:spacing w:after="240"/>
      </w:pPr>
      <w:r>
        <w:t>Особое место в архитектуре занимает контур асинхронной обработки, построенный на Redis и BullMQ. Его назначение связано с тем, что анализ текстового запроса и отправка рассылок не должны блокировать пользовательский интерфейс. При постановке проекта в анализ создается задача в очереди, которая затем обрабатывается отдельным процессором. Аналогичным образом организована отправка писем: после подтверждения рассылки создаются объекты рассылки и соответствующие задания на отправку. Такая архитектура позволяет сохранять отзывчивость интерфейса, вводить повторные попытки выполнения задач и отделять пользовательский запрос от тяжелых фоновых операций.</w:t>
      </w:r>
    </w:p>
    <w:p w14:paraId="72A94D33" w14:textId="77777777" w:rsidR="00B209B8" w:rsidRDefault="002A09F3">
      <w:pPr>
        <w:spacing w:after="240"/>
      </w:pPr>
      <w:r>
        <w:t>Интеграционный контур платформы представлен сервисом </w:t>
      </w:r>
      <w:r>
        <w:rPr>
          <w:sz w:val="22"/>
        </w:rPr>
        <w:t>n8n</w:t>
      </w:r>
      <w:r>
        <w:t>, который используется не как внешний факультативный модуль в абстрактном смысле, а как реально применяемый элемент архитектуры. Через </w:t>
      </w:r>
      <w:r>
        <w:rPr>
          <w:sz w:val="22"/>
        </w:rPr>
        <w:t>n8n</w:t>
      </w:r>
      <w:r>
        <w:t> организуется взаимодействие с LLM-контуром, а также, при необходимости, может быть делегирована отправка почтовых сообщений. В сочетании с </w:t>
      </w:r>
      <w:r>
        <w:rPr>
          <w:sz w:val="22"/>
        </w:rPr>
        <w:t>Ollama</w:t>
      </w:r>
      <w:r>
        <w:t> это позволяет встроить интеллектуальную обработку текста в управляемую инфраструктуру, не вынося ее в полностью внешний облачный сервис. С архитектурной точки зрения это решение важно по двум причинам. Во-первых, оно отделяет доменную систему от конкретной реализации LLM, сохраняя гибкость интеграции. Во-вторых, оно позволяет включить в контур обработки дополнительные этапы нормализации, валидации и постобработки ответа модели без усложнения основной бизнес-логики API.</w:t>
      </w:r>
    </w:p>
    <w:p w14:paraId="64039BB4" w14:textId="77777777" w:rsidR="00B209B8" w:rsidRDefault="002A09F3">
      <w:pPr>
        <w:spacing w:after="240"/>
      </w:pPr>
      <w:r>
        <w:t>Связь между компонентами может быть описана следующим образом. Пользователь взаимодействует с интерфейсом Next.js, который направляет запросы в backend API. Серверный слой, в зависимости от характера операции, либо напрямую обрабатывает запрос и работает с PostgreSQL через Prisma, либо ставит задачу в очередь BullMQ, используя Redis как инфраструктурный слой очередей. При выполнении анализа backend формирует запрос к LLM-контурy через слой провайдеров и сервис </w:t>
      </w:r>
      <w:r>
        <w:rPr>
          <w:sz w:val="22"/>
        </w:rPr>
        <w:t>n8n</w:t>
      </w:r>
      <w:r>
        <w:t>, который, в реальном эксплуатационном варианте, взаимодействует с </w:t>
      </w:r>
      <w:r>
        <w:rPr>
          <w:sz w:val="22"/>
        </w:rPr>
        <w:t>Ollama</w:t>
      </w:r>
      <w:r>
        <w:t>. При выполнении почтовых операций backend использует либо прямую SMTP-отправку через Nodemailer, либо workflow </w:t>
      </w:r>
      <w:r>
        <w:rPr>
          <w:sz w:val="22"/>
        </w:rPr>
        <w:t>n8n</w:t>
      </w:r>
      <w:r>
        <w:t>. Результаты выполнения фоновых операций сохраняются в базе данных и становятся доступны интерфейсу пользователя.</w:t>
      </w:r>
    </w:p>
    <w:p w14:paraId="79794418" w14:textId="77777777" w:rsidR="00B209B8" w:rsidRDefault="002A09F3">
      <w:pPr>
        <w:spacing w:after="240"/>
      </w:pPr>
      <w:r>
        <w:lastRenderedPageBreak/>
        <w:t>С точки зрения архитектурных преимуществ выбранная схема позволяет совместить несколько важных свойств: модульность, воспроизводимость развёртывания, адаптивность интеграций и управляемость фоновых процессов. Кроме того, она соответствует фактическим ограничениям предметной области: проект не требует сложной микросервисной декомпозиции, но нуждается в четком разделении ответственности и в асинхронном выполнении отдельных операций. Именно поэтому архитектуру платформы «Проектория» можно охарактеризовать как сбалансированное модульное web-решение с выделенным фоновым и интеграционным контуром.</w:t>
      </w:r>
    </w:p>
    <w:p w14:paraId="3C3648A7" w14:textId="77777777" w:rsidR="00B209B8" w:rsidRDefault="002A09F3">
      <w:pPr>
        <w:spacing w:before="160" w:after="80"/>
      </w:pPr>
      <w:r>
        <w:rPr>
          <w:rFonts w:ascii="Aptos Display" w:eastAsia="Aptos Display" w:hAnsi="Aptos Display" w:cs="Aptos Display"/>
          <w:color w:val="0F4761"/>
          <w:sz w:val="32"/>
        </w:rPr>
        <w:t>2.4. Модель данных и логика состояний</w:t>
      </w:r>
    </w:p>
    <w:p w14:paraId="098DF2EE" w14:textId="77777777" w:rsidR="00B209B8" w:rsidRDefault="002A09F3">
      <w:pPr>
        <w:spacing w:after="240"/>
      </w:pPr>
      <w:r>
        <w:t>Информационная модель платформы «Проектория» отражает ключевые сущности стадии инициации проекта и связи между ними. Центральное место в модели занимает сущность </w:t>
      </w:r>
      <w:r>
        <w:rPr>
          <w:sz w:val="22"/>
        </w:rPr>
        <w:t>Project</w:t>
      </w:r>
      <w:r>
        <w:t>, которая выступает цифровым представлением входящего запроса после его переноса во внутреннюю систему. Проект содержит заголовок, исходный текст обращения, сведения об авторе и набор временных отметок, фиксирующих прохождение основных стадий обработки. Тем самым проект становится не просто карточкой данных, а ядром управляемого процесса, вокруг которого группируются результаты анализа, рассылки, отклики и уведомления.</w:t>
      </w:r>
    </w:p>
    <w:p w14:paraId="25AD5A25" w14:textId="77777777" w:rsidR="00B209B8" w:rsidRDefault="002A09F3">
      <w:pPr>
        <w:spacing w:after="240"/>
      </w:pPr>
      <w:r>
        <w:t>Сущность </w:t>
      </w:r>
      <w:r>
        <w:rPr>
          <w:sz w:val="22"/>
        </w:rPr>
        <w:t>User</w:t>
      </w:r>
      <w:r>
        <w:t> описывает зарегистрированных сотрудников системы и включает сведения, необходимые для аутентификации и разграничения прав. На уровне доменной модели пользователь связан как с проектами, созданными им в роли инициатора, так и с уведомлениями, возникающими в ходе работы системы. Подобная связь позволяет обеспечить персонализированное сопровождение процесса и фиксировать, какой сотрудник отвечает за конкретную проектную инициативу.</w:t>
      </w:r>
    </w:p>
    <w:p w14:paraId="06681470" w14:textId="77777777" w:rsidR="00B209B8" w:rsidRDefault="002A09F3">
      <w:pPr>
        <w:spacing w:after="240"/>
      </w:pPr>
      <w:r>
        <w:t>Для представления организационной структуры университета используется сущность </w:t>
      </w:r>
      <w:r>
        <w:rPr>
          <w:sz w:val="22"/>
        </w:rPr>
        <w:t>Department</w:t>
      </w:r>
      <w:r>
        <w:t>, дополненная сущностью </w:t>
      </w:r>
      <w:r>
        <w:rPr>
          <w:sz w:val="22"/>
        </w:rPr>
        <w:t>DepartmentRecipient</w:t>
      </w:r>
      <w:r>
        <w:t>. Такое разделение отражает важное проектное решение: подразделение рассматривается как устойчивый объект предметной области, тогда как состав адресатов является динамическим набором контактных записей. Благодаря этому возможно сохранять постоянный справочник подразделений и одновременно гибко изменять список получателей рассылки. В условиях внутренней эксплуатации и потенциальных организационных изменений такое разделение представляется обоснованным и practically necessary.</w:t>
      </w:r>
    </w:p>
    <w:p w14:paraId="61E4BBBE" w14:textId="77777777" w:rsidR="00B209B8" w:rsidRDefault="002A09F3">
      <w:pPr>
        <w:spacing w:after="240"/>
      </w:pPr>
      <w:r>
        <w:t>Результаты аналитической обработки проекта представлены сущностью </w:t>
      </w:r>
      <w:r>
        <w:rPr>
          <w:sz w:val="22"/>
        </w:rPr>
        <w:t>AnalysisResult</w:t>
      </w:r>
      <w:r>
        <w:t>. Она содержит краткое содержательное резюме запроса, декомпозицию задач в JSON-формате, исходный структурированный ответ аналитического контура, сведения о статусе генерации, а также информацию об использованном провайдере и модели. Это позволяет не только использовать итог анализа в интерфейсе, но и сохранять трассируемость источника результата, что особенно важно при наличии нескольких возможных провайдеров аналитической обработки. С сущностью </w:t>
      </w:r>
      <w:r>
        <w:rPr>
          <w:sz w:val="22"/>
        </w:rPr>
        <w:t>AnalysisResult</w:t>
      </w:r>
      <w:r>
        <w:t> связана сущность </w:t>
      </w:r>
      <w:r>
        <w:rPr>
          <w:sz w:val="22"/>
        </w:rPr>
        <w:t>DepartmentSuggestion</w:t>
      </w:r>
      <w:r>
        <w:t xml:space="preserve">, которая отражает предложенные системой рекомендации по потенциальному вовлечению конкретных подразделений. В ее структуре сохранены </w:t>
      </w:r>
      <w:r>
        <w:lastRenderedPageBreak/>
        <w:t>причины релевантности, фрагмент проблемы, адаптированное описание предложения и заготовки письма. Наличие полей для пользовательской корректировки тем и текстов показывает, что система проектировалась как полуавтоматическое решение, допускающее ручную верификацию и доработку результата.</w:t>
      </w:r>
    </w:p>
    <w:p w14:paraId="1F034490" w14:textId="77777777" w:rsidR="00B209B8" w:rsidRDefault="002A09F3">
      <w:pPr>
        <w:spacing w:after="240"/>
      </w:pPr>
      <w:r>
        <w:t>Блок коммуникации представлен сущностью </w:t>
      </w:r>
      <w:r>
        <w:rPr>
          <w:sz w:val="22"/>
        </w:rPr>
        <w:t>Mailing</w:t>
      </w:r>
      <w:r>
        <w:t>, которая связывает проект и конкретное подразделение, содержит тему и текст письма, перечень адресатов, текущий статус отправки и уникальный токен отклика. Тем самым рассылка моделируется не как абстрактный факт отправки сообщения, а как самостоятельный управляемый объект. Это позволяет отслеживать переходы между состояниями отправки, фиксировать ошибки и связывать каждую рассылку с последующим откликом. Сущность </w:t>
      </w:r>
      <w:r>
        <w:rPr>
          <w:sz w:val="22"/>
        </w:rPr>
        <w:t>Response</w:t>
      </w:r>
      <w:r>
        <w:t>, в свою очередь, отражает результат использования токенизированной ссылки и хранит сведения о проекте, подразделении, конкретной рассылке, а также контактные данные лица, оставившего отклик. Дополнительные технические поля, такие как снимок токена, IP-адрес и user-agent, обеспечивают минимальную техническую трассируемость события отклика.</w:t>
      </w:r>
    </w:p>
    <w:p w14:paraId="5B6A084D" w14:textId="77777777" w:rsidR="00B209B8" w:rsidRDefault="002A09F3">
      <w:pPr>
        <w:spacing w:after="240"/>
      </w:pPr>
      <w:r>
        <w:t>Сущность </w:t>
      </w:r>
      <w:r>
        <w:rPr>
          <w:sz w:val="22"/>
        </w:rPr>
        <w:t>Notification</w:t>
      </w:r>
      <w:r>
        <w:t> служит средством уведомления внутренних пользователей системы о значимых событиях. В текущей модели наибольшее практическое значение имеет уведомление о новом отклике по проекту. Наконец, сущность </w:t>
      </w:r>
      <w:r>
        <w:rPr>
          <w:sz w:val="22"/>
        </w:rPr>
        <w:t>SystemSetting</w:t>
      </w:r>
      <w:r>
        <w:t> реализует отдельный контур системных параметров в формате ключ-значение. При этом проектный анализ кода показывает, что в текущей версии этот контур существует как административный модуль управления настройками, но не играет явно выраженной роли в основном бизнес-процессе. Для проектной главы это важно зафиксировать как архитектурный задел на развитие, а не как уже полноценно задействованный механизм предметной логики.</w:t>
      </w:r>
    </w:p>
    <w:p w14:paraId="0DCD5076" w14:textId="77777777" w:rsidR="00B209B8" w:rsidRDefault="002A09F3">
      <w:pPr>
        <w:spacing w:after="240"/>
      </w:pPr>
      <w:r>
        <w:t>Не менее значимой частью проектирования выступает логика состояний. Длясущности</w:t>
      </w:r>
      <w:r w:rsidRPr="00516924">
        <w:rPr>
          <w:sz w:val="22"/>
          <w:lang w:val="en-US"/>
        </w:rPr>
        <w:t>Project</w:t>
      </w:r>
      <w:r>
        <w:t>реализованнаборстатусов</w:t>
      </w:r>
      <w:r w:rsidRPr="00516924">
        <w:rPr>
          <w:sz w:val="22"/>
          <w:lang w:val="en-US"/>
        </w:rPr>
        <w:t>DRAFT</w:t>
      </w:r>
      <w:r w:rsidRPr="00516924">
        <w:rPr>
          <w:lang w:val="en-US"/>
        </w:rPr>
        <w:t>,</w:t>
      </w:r>
      <w:r w:rsidRPr="00516924">
        <w:rPr>
          <w:sz w:val="22"/>
          <w:lang w:val="en-US"/>
        </w:rPr>
        <w:t>QUEUED</w:t>
      </w:r>
      <w:r w:rsidRPr="00516924">
        <w:rPr>
          <w:lang w:val="en-US"/>
        </w:rPr>
        <w:t>,</w:t>
      </w:r>
      <w:r w:rsidRPr="00516924">
        <w:rPr>
          <w:sz w:val="22"/>
          <w:lang w:val="en-US"/>
        </w:rPr>
        <w:t>PROCESSING</w:t>
      </w:r>
      <w:r w:rsidRPr="00516924">
        <w:rPr>
          <w:lang w:val="en-US"/>
        </w:rPr>
        <w:t>,</w:t>
      </w:r>
      <w:r w:rsidRPr="00516924">
        <w:rPr>
          <w:sz w:val="22"/>
          <w:lang w:val="en-US"/>
        </w:rPr>
        <w:t>READY_FOR_REVIEW</w:t>
      </w:r>
      <w:r w:rsidRPr="00516924">
        <w:rPr>
          <w:lang w:val="en-US"/>
        </w:rPr>
        <w:t>,</w:t>
      </w:r>
      <w:r w:rsidRPr="00516924">
        <w:rPr>
          <w:sz w:val="22"/>
          <w:lang w:val="en-US"/>
        </w:rPr>
        <w:t>APPROVED</w:t>
      </w:r>
      <w:r w:rsidRPr="00516924">
        <w:rPr>
          <w:lang w:val="en-US"/>
        </w:rPr>
        <w:t>,</w:t>
      </w:r>
      <w:r w:rsidRPr="00516924">
        <w:rPr>
          <w:sz w:val="22"/>
          <w:lang w:val="en-US"/>
        </w:rPr>
        <w:t>SENDING</w:t>
      </w:r>
      <w:r w:rsidRPr="00516924">
        <w:rPr>
          <w:lang w:val="en-US"/>
        </w:rPr>
        <w:t>,</w:t>
      </w:r>
      <w:r w:rsidRPr="00516924">
        <w:rPr>
          <w:sz w:val="22"/>
          <w:lang w:val="en-US"/>
        </w:rPr>
        <w:t>SENT</w:t>
      </w:r>
      <w:r w:rsidRPr="00516924">
        <w:rPr>
          <w:lang w:val="en-US"/>
        </w:rPr>
        <w:t>,</w:t>
      </w:r>
      <w:r w:rsidRPr="00516924">
        <w:rPr>
          <w:sz w:val="22"/>
          <w:lang w:val="en-US"/>
        </w:rPr>
        <w:t>FAILED</w:t>
      </w:r>
      <w:r w:rsidRPr="00516924">
        <w:rPr>
          <w:lang w:val="en-US"/>
        </w:rPr>
        <w:t>. </w:t>
      </w:r>
      <w:r>
        <w:t>Их последовательность отражает фактический жизненный цикл проекта в рамках стадии инициации. Статус </w:t>
      </w:r>
      <w:r>
        <w:rPr>
          <w:sz w:val="22"/>
        </w:rPr>
        <w:t>DRAFT</w:t>
      </w:r>
      <w:r>
        <w:t> соответствует созданной, но еще не отправленной в анализ карточке. После запуска аналитической обработки проект переходит в </w:t>
      </w:r>
      <w:r>
        <w:rPr>
          <w:sz w:val="22"/>
        </w:rPr>
        <w:t>QUEUED</w:t>
      </w:r>
      <w:r>
        <w:t>, затем в </w:t>
      </w:r>
      <w:r>
        <w:rPr>
          <w:sz w:val="22"/>
        </w:rPr>
        <w:t>PROCESSING</w:t>
      </w:r>
      <w:r>
        <w:t>. После успешного завершения анализа и сохранения рекомендаций проект получает статус </w:t>
      </w:r>
      <w:r>
        <w:rPr>
          <w:sz w:val="22"/>
        </w:rPr>
        <w:t>READY_FOR_REVIEW</w:t>
      </w:r>
      <w:r>
        <w:t>, что означает возможность содержательной проверки и редактирования результатов инициатором. Подтверждение рассылки переводит проект в </w:t>
      </w:r>
      <w:r>
        <w:rPr>
          <w:sz w:val="22"/>
        </w:rPr>
        <w:t>APPROVED</w:t>
      </w:r>
      <w:r>
        <w:t>, а запуск отправки писем - в </w:t>
      </w:r>
      <w:r>
        <w:rPr>
          <w:sz w:val="22"/>
        </w:rPr>
        <w:t>SENDING</w:t>
      </w:r>
      <w:r>
        <w:t>. После успешной отправки всех писем проект получает статус </w:t>
      </w:r>
      <w:r>
        <w:rPr>
          <w:sz w:val="22"/>
        </w:rPr>
        <w:t>SENT</w:t>
      </w:r>
      <w:r>
        <w:t>; при возникновении ошибок возможен переход в </w:t>
      </w:r>
      <w:r>
        <w:rPr>
          <w:sz w:val="22"/>
        </w:rPr>
        <w:t>FAILED</w:t>
      </w:r>
      <w:r>
        <w:t>.</w:t>
      </w:r>
    </w:p>
    <w:p w14:paraId="18947438" w14:textId="77777777" w:rsidR="00B209B8" w:rsidRDefault="002A09F3">
      <w:pPr>
        <w:spacing w:after="240"/>
      </w:pPr>
      <w:r>
        <w:t>Для аналитического результата используется отдельная логика состояний </w:t>
      </w:r>
      <w:r>
        <w:rPr>
          <w:sz w:val="22"/>
        </w:rPr>
        <w:t>PENDING</w:t>
      </w:r>
      <w:r>
        <w:t>, </w:t>
      </w:r>
      <w:r>
        <w:rPr>
          <w:sz w:val="22"/>
        </w:rPr>
        <w:t>PROCESSING</w:t>
      </w:r>
      <w:r>
        <w:t>, </w:t>
      </w:r>
      <w:r>
        <w:rPr>
          <w:sz w:val="22"/>
        </w:rPr>
        <w:t>READY</w:t>
      </w:r>
      <w:r>
        <w:t>, </w:t>
      </w:r>
      <w:r>
        <w:rPr>
          <w:sz w:val="22"/>
        </w:rPr>
        <w:t>FAILED</w:t>
      </w:r>
      <w:r>
        <w:t xml:space="preserve">. Это позволяет отделить собственно статус проекта от статуса генерации аналитического содержимого. Подобное разделение оправдано, поскольку проект как объект продолжает существовать и при неуспешной генерации анализа, а значит, может быть отправлен на повторную обработку. Аналогично </w:t>
      </w:r>
      <w:r>
        <w:lastRenderedPageBreak/>
        <w:t>для рассылки реализован собственный набор статусов </w:t>
      </w:r>
      <w:r>
        <w:rPr>
          <w:sz w:val="22"/>
        </w:rPr>
        <w:t>DRAFT</w:t>
      </w:r>
      <w:r>
        <w:t>, </w:t>
      </w:r>
      <w:r>
        <w:rPr>
          <w:sz w:val="22"/>
        </w:rPr>
        <w:t>QUEUED</w:t>
      </w:r>
      <w:r>
        <w:t>, </w:t>
      </w:r>
      <w:r>
        <w:rPr>
          <w:sz w:val="22"/>
        </w:rPr>
        <w:t>SENDING</w:t>
      </w:r>
      <w:r>
        <w:t>, </w:t>
      </w:r>
      <w:r>
        <w:rPr>
          <w:sz w:val="22"/>
        </w:rPr>
        <w:t>SENT</w:t>
      </w:r>
      <w:r>
        <w:t>, </w:t>
      </w:r>
      <w:r>
        <w:rPr>
          <w:sz w:val="22"/>
        </w:rPr>
        <w:t>FAILED</w:t>
      </w:r>
      <w:r>
        <w:t>, </w:t>
      </w:r>
      <w:r>
        <w:rPr>
          <w:sz w:val="22"/>
        </w:rPr>
        <w:t>SKIPPED</w:t>
      </w:r>
      <w:r>
        <w:t>. При этом текущая бизнес-логика непосредственно использует прежде всего состояния </w:t>
      </w:r>
      <w:r>
        <w:rPr>
          <w:sz w:val="22"/>
        </w:rPr>
        <w:t>QUEUED</w:t>
      </w:r>
      <w:r>
        <w:t>, </w:t>
      </w:r>
      <w:r>
        <w:rPr>
          <w:sz w:val="22"/>
        </w:rPr>
        <w:t>SENDING</w:t>
      </w:r>
      <w:r>
        <w:t>, </w:t>
      </w:r>
      <w:r>
        <w:rPr>
          <w:sz w:val="22"/>
        </w:rPr>
        <w:t>SENT</w:t>
      </w:r>
      <w:r>
        <w:t> и </w:t>
      </w:r>
      <w:r>
        <w:rPr>
          <w:sz w:val="22"/>
        </w:rPr>
        <w:t>FAILED</w:t>
      </w:r>
      <w:r>
        <w:t>, тогда как остальные следует рассматривать как часть более общей модели, допускающей дальнейшее развитие сценариев.</w:t>
      </w:r>
    </w:p>
    <w:p w14:paraId="123B4869" w14:textId="77777777" w:rsidR="00B209B8" w:rsidRDefault="002A09F3">
      <w:pPr>
        <w:spacing w:after="240"/>
      </w:pPr>
      <w:r>
        <w:t>С точки зрения проектирования доменной логики важным является то, что переходы между состояниями не оставлены на усмотрение пользовательского интерфейса, а закреплены в серверном слое. Это означает, что система проектировалась как решение с централизованным контролем бизнес-правил. Такой подход обеспечивает непротиворечивость поведения и снижает риск возникновения некорректных состояний при работе разных интерфейсных сценариев.</w:t>
      </w:r>
    </w:p>
    <w:p w14:paraId="0755A33D" w14:textId="77777777" w:rsidR="00B209B8" w:rsidRDefault="002A09F3">
      <w:pPr>
        <w:spacing w:after="240"/>
      </w:pPr>
      <w:r>
        <w:t>Таким образом, модель данных платформы «Проектория» строится вокруг сущности проекта как ядра ранней стадии инициации, а логика состояний обеспечивает формализованное сопровождение движения от входящего текста к результату первичной коммуникации. Это создает прочную основу для реализации управляемого и воспроизводимого процесса.</w:t>
      </w:r>
    </w:p>
    <w:p w14:paraId="7B640C62" w14:textId="77777777" w:rsidR="00B209B8" w:rsidRDefault="002A09F3">
      <w:pPr>
        <w:spacing w:before="160" w:after="80"/>
      </w:pPr>
      <w:r>
        <w:rPr>
          <w:rFonts w:ascii="Aptos Display" w:eastAsia="Aptos Display" w:hAnsi="Aptos Display" w:cs="Aptos Display"/>
          <w:color w:val="0F4761"/>
          <w:sz w:val="32"/>
        </w:rPr>
        <w:t>2.5. Обоснование выбора технологий</w:t>
      </w:r>
      <w:r>
        <w:t> </w:t>
      </w:r>
    </w:p>
    <w:p w14:paraId="483C18C4" w14:textId="77777777" w:rsidR="00B209B8" w:rsidRDefault="002A09F3">
      <w:pPr>
        <w:spacing w:after="240"/>
      </w:pPr>
      <w:r>
        <w:t>Выбор технологического стека платформы «Проектория» подчинен двум основным критериям: соответствию задачам внутренней эксплуатации и способности поддерживать дальнейшее развитие решения без радикальной переработки архитектуры. По этой причине в проекте использованы распространенные, хорошо поддерживаемые и совместимые между собой технологии, обеспечивающие приемлемый баланс между скоростью разработки, структурной ясностью и эксплуатационной устойчивостью.</w:t>
      </w:r>
    </w:p>
    <w:p w14:paraId="448EF922" w14:textId="77777777" w:rsidR="00B209B8" w:rsidRDefault="002A09F3">
      <w:pPr>
        <w:spacing w:after="240"/>
      </w:pPr>
      <w:r>
        <w:t>Использование Next.js в клиентском слое оправдано тем, что данная технология позволяет создавать структурированный web-интерфейс с развитой маршрутизацией, разделением страниц по функциональным контурам и удобной организацией прикладного состояния. Для внутренней системы, в которой основное значение имеет стабильная работа интерфейсов сотрудников, такой выбор является рациональным. Применение TypeScript в frontend-части повышает предсказуемость разработки, особенно при большом количестве типов данных, приходящих из backend API, включая проектные карточки, результаты анализа, рассылки и отклики.</w:t>
      </w:r>
    </w:p>
    <w:p w14:paraId="3BF876B4" w14:textId="77777777" w:rsidR="00B209B8" w:rsidRDefault="002A09F3">
      <w:pPr>
        <w:spacing w:after="240"/>
      </w:pPr>
      <w:r>
        <w:t>Выбор NestJS для серверного слоя обусловлен его модульной природой и хорошей пригодностью для построения прикладных информационных систем с выраженной бизнес-логикой. NestJS поддерживает явное разделение на контроллеры, сервисы, модули и guard-механизмы, что облегчает формализацию архитектуры и обеспечивает удобную основу для развития ролевой модели, интеграций и фоновых процессов. Для магистерского проекта, в котором требуется продемонстрировать не только факт реализации функций, но и архитектурную обоснованность решения, такой стек представляется особенно уместным.</w:t>
      </w:r>
    </w:p>
    <w:p w14:paraId="45EE99B4" w14:textId="77777777" w:rsidR="00B209B8" w:rsidRDefault="002A09F3">
      <w:pPr>
        <w:spacing w:after="240"/>
      </w:pPr>
      <w:r>
        <w:lastRenderedPageBreak/>
        <w:t>Использование PostgreSQL в качестве основной СУБД объясняется необходимостью надежного хранения взаимосвязанных предметных сущностей, поддержкой транзакционной логики и зрелостью экосистемы. В рассматриваемой задаче данные имеют четко выраженную реляционную природу: пользователи связаны с проектами, проекты - с результатами анализа, рекомендациями, рассылками, откликами и уведомлениями. Prisma ORM выступает дополнением к этому выбору, поскольку обеспечивает единое описание схемы данных, миграций и прикладного доступа к сущностям. Это особенно важно для учебно-исследовательской работы, где требуется прослеживаемость связи между логической моделью и конкретной реализацией.</w:t>
      </w:r>
    </w:p>
    <w:p w14:paraId="6D8B5EB6" w14:textId="77777777" w:rsidR="00B209B8" w:rsidRDefault="002A09F3">
      <w:pPr>
        <w:spacing w:after="240"/>
      </w:pPr>
      <w:r>
        <w:t>Redis и BullMQ были выбраны для организации асинхронных процессов, поскольку анализ текстового запроса и отправка писем не должны выполняться в пределах одного синхронного HTTP-запроса. Данный выбор позволяет надежно отделить пользовательское действие от длительной фоновой работы, использовать повторные попытки выполнения задач и фиксировать переходы статусов в явной форме. В результате система сохраняет отзывчивость интерфейса и получает инфраструктурную основу для масштабирования фоновых операций в будущем.</w:t>
      </w:r>
    </w:p>
    <w:p w14:paraId="16BD6188" w14:textId="77777777" w:rsidR="00B209B8" w:rsidRDefault="002A09F3">
      <w:pPr>
        <w:spacing w:after="240"/>
      </w:pPr>
      <w:r>
        <w:t>Особого обоснования требует использование </w:t>
      </w:r>
      <w:r>
        <w:rPr>
          <w:sz w:val="22"/>
        </w:rPr>
        <w:t>n8n</w:t>
      </w:r>
      <w:r>
        <w:t> и </w:t>
      </w:r>
      <w:r>
        <w:rPr>
          <w:sz w:val="22"/>
        </w:rPr>
        <w:t>Ollama</w:t>
      </w:r>
      <w:r>
        <w:t>. В условиях рассматриваемого проекта интеллектуальная обработка текста является важной, но при этом вспомогательной функцией по отношению к основной доменной логике. По этой причине аналитический контур не встраивается напрямую в ядро бизнес-логики как жестко связанный внешний API-клиент. Вместо этого используется более гибкая схема: backend обращается к слою LLM-провайдеров, а один из реальных вариантов исполнения построен через </w:t>
      </w:r>
      <w:r>
        <w:rPr>
          <w:sz w:val="22"/>
        </w:rPr>
        <w:t>n8n</w:t>
      </w:r>
      <w:r>
        <w:t>-workflow, взаимодействующий с </w:t>
      </w:r>
      <w:r>
        <w:rPr>
          <w:sz w:val="22"/>
        </w:rPr>
        <w:t>Ollama</w:t>
      </w:r>
      <w:r>
        <w:t>. Такое решение дает несколько преимуществ. Во-первых, оно позволяет изолировать прикладную систему от деталей низкоуровневой работы с моделью. Во-вторых, оно облегчает постобработку и валидацию результата анализа. В-третьих, оно сохраняет возможность изменения аналитического контура без существенной переработки основного backend-кода.</w:t>
      </w:r>
    </w:p>
    <w:p w14:paraId="7A536A28" w14:textId="77777777" w:rsidR="00B209B8" w:rsidRDefault="002A09F3">
      <w:pPr>
        <w:spacing w:after="240"/>
      </w:pPr>
      <w:r>
        <w:t>Почтовый контур реализован на базе Nodemailer, что соответствует задаче программной отправки писем с минимальной инфраструктурной сложностью. При этом архитектура не ограничивается прямой SMTP-отправкой: предусмотрена возможность делегирования почтового workflow во внешний контур </w:t>
      </w:r>
      <w:r>
        <w:rPr>
          <w:sz w:val="22"/>
        </w:rPr>
        <w:t>n8n</w:t>
      </w:r>
      <w:r>
        <w:t>. Подобное решение повышает адаптивность системы и дает возможность в дальнейшем интегрироваться с иными корпоративными механизмами рассылки без отказа от основной прикладной логики.</w:t>
      </w:r>
    </w:p>
    <w:p w14:paraId="6D1C72DF" w14:textId="77777777" w:rsidR="00B209B8" w:rsidRDefault="002A09F3">
      <w:pPr>
        <w:spacing w:after="240"/>
      </w:pPr>
      <w:r>
        <w:t>Выбор Docker Compose как средства оркестрации среды разработки и локальной эксплуатации также является проектно обоснованным. Платформа включает несколько взаимосвязанных сервисов: frontend, backend, PostgreSQL, Redis, </w:t>
      </w:r>
      <w:r>
        <w:rPr>
          <w:sz w:val="22"/>
        </w:rPr>
        <w:t>n8n</w:t>
      </w:r>
      <w:r>
        <w:t>, </w:t>
      </w:r>
      <w:r>
        <w:rPr>
          <w:sz w:val="22"/>
        </w:rPr>
        <w:t>Ollama</w:t>
      </w:r>
      <w:r>
        <w:t xml:space="preserve">, а в локальной среде также MailHog. Контейнеризация позволяет описать этот контур в воспроизводимом виде, снизить зависимость результата от конфигурации конкретной рабочей станции и обеспечить единообразие запуска системы. Для внутреннего решения, </w:t>
      </w:r>
      <w:r>
        <w:lastRenderedPageBreak/>
        <w:t>предполагающего развитие и возможную передачу между участниками команды, это является практическим преимуществом.</w:t>
      </w:r>
    </w:p>
    <w:p w14:paraId="776FB60A" w14:textId="77777777" w:rsidR="00B209B8" w:rsidRDefault="002A09F3">
      <w:pPr>
        <w:spacing w:after="240"/>
      </w:pPr>
      <w:r>
        <w:t>В совокупности выбранный стек отражает прагматичную проектную стратегию. Он не является избыточно сложным, однако покрывает все необходимые контуры: пользовательский интерфейс, серверную бизнес-логику, реляционное хранение данных, асинхронную обработку, интеллектуальную поддержку анализа, почтовую коммуникацию и контейнерное развёртывание. Благодаря этому платформа «Проектория» обладает достаточной структурной зрелостью для внутренней эксплуатации и одновременно сохраняет потенциал дальнейшего расширения.</w:t>
      </w:r>
    </w:p>
    <w:p w14:paraId="13A7A688" w14:textId="77777777" w:rsidR="00B209B8" w:rsidRDefault="002A09F3">
      <w:pPr>
        <w:pStyle w:val="1"/>
        <w:rPr>
          <w:rFonts w:ascii="Aptos Display" w:eastAsia="Aptos Display" w:hAnsi="Aptos Display" w:cs="Aptos Display"/>
        </w:rPr>
      </w:pPr>
      <w:bookmarkStart w:id="15" w:name="_Toc230426981"/>
      <w:r>
        <w:t>ГЛАВА 3. РЕАЛИЗАЦИЯ И ПРАКТИЧЕСКАЯ АПРОБАЦИЯ ПЛАТФОРМЫ</w:t>
      </w:r>
      <w:bookmarkEnd w:id="15"/>
    </w:p>
    <w:p w14:paraId="21AC5D7D" w14:textId="77777777" w:rsidR="00B209B8" w:rsidRDefault="002A09F3">
      <w:pPr>
        <w:spacing w:before="180" w:after="180"/>
        <w:rPr>
          <w:rFonts w:ascii="Aptos" w:eastAsia="Aptos" w:hAnsi="Aptos" w:cs="Aptos"/>
        </w:rPr>
      </w:pPr>
      <w:r>
        <w:rPr>
          <w:rFonts w:ascii="Aptos" w:eastAsia="Aptos" w:hAnsi="Aptos" w:cs="Aptos"/>
        </w:rPr>
        <w:t>Третья глава посвящена практической реализации платформы «Проектория» и анализу того, каким образом проектные решения, описанные ранее, были воплощены в конкретных программных модулях и пользовательских сценариях. Если предыдущая глава фиксировала требования, архитектуру и модель данных, то здесь внимание переносится на прикладной уровень: каким образом система выполняет основные операции, как организован проход проекта через ключевые стадии, какие механизмы обеспечивают работоспособность решения и каковы ограничения текущей версии.</w:t>
      </w:r>
    </w:p>
    <w:p w14:paraId="6C8B5315" w14:textId="77777777" w:rsidR="00B209B8" w:rsidRDefault="002A09F3">
      <w:pPr>
        <w:spacing w:before="180" w:after="180"/>
        <w:rPr>
          <w:rFonts w:ascii="Aptos" w:eastAsia="Aptos" w:hAnsi="Aptos" w:cs="Aptos"/>
        </w:rPr>
      </w:pPr>
      <w:r>
        <w:rPr>
          <w:rFonts w:ascii="Aptos" w:eastAsia="Aptos" w:hAnsi="Aptos" w:cs="Aptos"/>
        </w:rPr>
        <w:t>Под практической апробацией в контексте данной работы понимается не проведение полномасштабного формального внедренческого эксперимента с расчетом количественных показателей эффективности, а проверка того, что разработанная система поддерживает целостный и воспроизводимый процесс обработки проектного запроса в рамках внутренней эксплуатации. Такой подход соответствует фактическим данным репозитория: в проекте представлены программная реализация, инфраструктурные конфигурации, маршруты API, пользовательские интерфейсы и базовые unit-тесты, однако отсутствуют подтвержденные количественные материалы, позволяющие делать выводы в терминах процентного сокращения времени обработки или роста производительности. Следовательно, оценка результата должна носить качественный и проверяемый характер.</w:t>
      </w:r>
    </w:p>
    <w:p w14:paraId="37FF4231" w14:textId="77777777" w:rsidR="00B209B8" w:rsidRDefault="00B209B8">
      <w:pPr>
        <w:spacing w:after="240"/>
      </w:pPr>
    </w:p>
    <w:p w14:paraId="569B2B7D" w14:textId="77777777" w:rsidR="00B209B8" w:rsidRDefault="002A09F3">
      <w:pPr>
        <w:pStyle w:val="1"/>
      </w:pPr>
      <w:bookmarkStart w:id="16" w:name="заключение"/>
      <w:bookmarkStart w:id="17" w:name="_Toc226251483"/>
      <w:bookmarkStart w:id="18" w:name="_Toc230426982"/>
      <w:bookmarkEnd w:id="16"/>
      <w:bookmarkEnd w:id="17"/>
      <w:r>
        <w:t>ЗАКЛЮЧЕНИЕ</w:t>
      </w:r>
      <w:bookmarkEnd w:id="18"/>
    </w:p>
    <w:p w14:paraId="19E04483" w14:textId="77777777" w:rsidR="00B209B8" w:rsidRDefault="002A09F3">
      <w:pPr>
        <w:pStyle w:val="FirstParagraph"/>
      </w:pPr>
      <w:r>
        <w:t xml:space="preserve">В ходе выполнения магистерской выпускной квалификационной работы была рассмотрена задача цифровой поддержки взаимодействия заказчиков с университетом на стадии инициации проектов и разработана платформа «Проектория», ориентированная на внутреннюю эксплуатацию в университете. Проведенный анализ предметной области показал, что ранний этап работы с проектным запросом характеризуется высокой организационной сложностью: входящая информация нередко </w:t>
      </w:r>
      <w:r>
        <w:lastRenderedPageBreak/>
        <w:t>представляется в неструктурированном текстовом виде, требует содержательной интерпретации, межподразделенческой маршрутизации и последовательной коммуникации с потенциальными участниками. При ручной организации такого процесса возникают риски потери контекста, неоднородности решений, увеличения времени первичной обработки обращения и снижения прозрачности управленческих действий.</w:t>
      </w:r>
    </w:p>
    <w:p w14:paraId="4BB110DC" w14:textId="77777777" w:rsidR="00B209B8" w:rsidRDefault="002A09F3">
      <w:pPr>
        <w:pStyle w:val="a0"/>
      </w:pPr>
      <w:r>
        <w:t>В первой главе были раскрыты особенности цифровизации взаимодействия заказчиков с университетом применительно к проектной деятельности, проанализированы процессы инициации проектов и выявлены ограничения традиционных и частично автоматизированных подходов. Выполненное рассмотрение показало, что для университетской среды недостаточно использования только общих классов информационных систем, таких как корпоративные порталы, CRM-решения, сервис-деск платформы или системы управления проектами. Хотя такие средства могут закрывать отдельные задачи хранения данных, регистрации заявок и коммуникации, они не обеспечивают в готовом виде специализированный контур перехода от текстового запроса к первичной проектной декомпозиции, подбору релевантных подразделений и адресной организации обратной связи внутри многоуровневой университетской структуры. Это позволило обосновать необходимость разработки прикладной платформы, учитывающей специфику внутреннего процесса инициации проекта.</w:t>
      </w:r>
    </w:p>
    <w:p w14:paraId="62E09565" w14:textId="77777777" w:rsidR="00B209B8" w:rsidRDefault="002A09F3">
      <w:pPr>
        <w:pStyle w:val="a0"/>
      </w:pPr>
      <w:r>
        <w:t xml:space="preserve">Во второй главе были сформулированы требования к системе и описаны основные проектные решения. На основе структуры и кода реального программного продукта установлено, что платформа «Проектория» реализована как web-система с клиент-серверной архитектурой и модульным разделением функций. В системе выделены роли администратора и инициатора, а также предусмотрен внешний упрощенный сценарий фиксации отклика по публичной токенизированной ссылке. Архитектура решения включает frontend на базе Next.js, backend на базе NestJS, реляционное хранилище PostgreSQL, ORM-слой Prisma, инфраструктуру очередей на Redis и BullMQ, почтовый контур, а также реально используемую интеграцию с </w:t>
      </w:r>
      <w:r>
        <w:rPr>
          <w:rStyle w:val="VerbatimChar"/>
        </w:rPr>
        <w:t>n8n</w:t>
      </w:r>
      <w:r>
        <w:t xml:space="preserve"> и </w:t>
      </w:r>
      <w:r>
        <w:rPr>
          <w:rStyle w:val="VerbatimChar"/>
        </w:rPr>
        <w:t>Ollama</w:t>
      </w:r>
      <w:r>
        <w:t xml:space="preserve"> для аналитической обработки текстового запроса. В рамках проектирования были описаны состав функциональных модулей, логика состояний проекта, структура предметных сущностей и основные сценарии пользовательской работы.</w:t>
      </w:r>
    </w:p>
    <w:p w14:paraId="5CD03CD9" w14:textId="77777777" w:rsidR="00B209B8" w:rsidRDefault="002A09F3">
      <w:pPr>
        <w:pStyle w:val="a0"/>
      </w:pPr>
      <w:r>
        <w:t xml:space="preserve">В третьей главе была рассмотрена практическая реализация системы. Анализ репозитория показал, что в платформе реализованы аутентификация и разграничение доступа, создание карточек проектов на основе текстового описания или загружаемого текстового файла, постановка задач анализа в очередь, сохранение результатов первичной содержательной обработки, формирование рекомендаций по подразделениям, редактирование тем и текстов писем, запуск рассылки, фиксация откликов подразделений и уведомление инициатора. Существенной особенностью решения является то, что автоматизация не заменяет экспертное участие сотрудника университета, а поддерживает его деятельность за счет объединения исходных данных, аналитического контура и средств коммуникации в единой системе. Такой подход представляется обоснованным для внутреннего эксплуатационного сценария, в котором </w:t>
      </w:r>
      <w:r>
        <w:lastRenderedPageBreak/>
        <w:t>требуется не полная автономность цифрового решения, а повышение управляемости и воспроизводимости раннего проектного цикла.</w:t>
      </w:r>
    </w:p>
    <w:p w14:paraId="3BBB4605" w14:textId="77777777" w:rsidR="00B209B8" w:rsidRDefault="002A09F3">
      <w:pPr>
        <w:pStyle w:val="a0"/>
      </w:pPr>
      <w:r>
        <w:t>Поставленная в работе цель достигнута: разработана платформа взаимодействия заказчиков с университетом с помощью цифровых решений по автоматизации процессов инициации проектов. Реализованное решение обеспечивает переход от исходного текстового запроса к структурированному проектному объекту, поддерживает первичный анализ содержания обращения, помогает определить потенциально релевантные подразделения, организует подготовку и отправку адресных коммуникаций и фиксирует первичные отклики в едином информационном контуре. Тем самым создается практическая основа для стандартизации и цифровой поддержки внутреннего процесса запуска университетских проектов.</w:t>
      </w:r>
    </w:p>
    <w:p w14:paraId="1A7A0AF4" w14:textId="77777777" w:rsidR="00B209B8" w:rsidRDefault="002A09F3">
      <w:pPr>
        <w:pStyle w:val="a0"/>
      </w:pPr>
      <w:r>
        <w:t>По итогам работы можно сделать вывод о практической значимости платформы «Проектория». Система позволяет централизовать обработку входящих обращений, снизить зависимость ранней маршрутизации от индивидуальной практики конкретного сотрудника, обеспечить прослеживаемость состояний проекта и связанной с ним переписки, а также создать единое пространство хранения результатов анализа и откликов подразделений. При этом корректно подчеркивать, что в рамках доступных материалов репозитория практический эффект решения подтверждается качественно, а не через количественные показатели производительности или экономической эффективности. В работе не приводятся численные оценки сокращения сроков или повышения результативности, поскольку такие данные не зафиксированы в проектных артефактах и требуют отдельного эксплуатационного исследования.</w:t>
      </w:r>
    </w:p>
    <w:p w14:paraId="57030403" w14:textId="77777777" w:rsidR="00B209B8" w:rsidRDefault="002A09F3">
      <w:pPr>
        <w:pStyle w:val="a0"/>
      </w:pPr>
      <w:r>
        <w:t>Одновременно проведенный анализ позволил выявить ограничения текущей версии системы. Платформа автоматизирует прежде всего внутренний контур обработки уже полученного обращения и не реализует полнофункциональный внешний кабинет заказчика. Поддержка входных данных ориентирована на текстовый формат, что сужает спектр исходных материалов. Отдельные инфраструктурные и эксплуатационные аспекты, включая углубленный мониторинг, формализованный CI/CD-контур и расширенную аналитику качества рекомендаций, в репозитории представлены ограниченно либо требуют дальнейшего развития. Эти особенности не снижают ценность выполненной работы, но определяют границы применимости текущей версии как внутренне эксплуатируемой платформы ранней стадии инициации проектов.</w:t>
      </w:r>
    </w:p>
    <w:p w14:paraId="29BDCAF9" w14:textId="77777777" w:rsidR="00B209B8" w:rsidRDefault="002A09F3">
      <w:pPr>
        <w:pStyle w:val="a0"/>
      </w:pPr>
      <w:r>
        <w:t>Перспективы развития платформы связаны с расширением набора поддерживаемых входных форматов, совершенствованием алгоритмов анализа и валидации рекомендаций, углублением эксплуатационного контура, а также возможным развитием внешнего пользовательского взаимодействия в случае изменения организационной модели университета. Дополнительным направлением представляется накопление эмпирических данных о работе системы, что в дальнейшем позволит перейти от качественной оценки результатов к количественному анализу эффекта внедрения.</w:t>
      </w:r>
    </w:p>
    <w:p w14:paraId="71206ACD" w14:textId="77777777" w:rsidR="00B209B8" w:rsidRDefault="002A09F3">
      <w:pPr>
        <w:pStyle w:val="a0"/>
      </w:pPr>
      <w:r>
        <w:t xml:space="preserve">Итак, разработанная платформа «Проектория» представляет собой прикладное цифровое решение, пригодное для внутреннего использования в университете и ориентированное </w:t>
      </w:r>
      <w:r>
        <w:lastRenderedPageBreak/>
        <w:t>на автоматизацию процессов инициации проектов. Полученные результаты подтверждают целесообразность выбранного архитектурного подхода и демонстрируют возможность построения специализированной университетской системы, в которой обработка текстового запроса, маршрутизация по подразделениям и фиксация первичных откликов объединены в едином программном контуре.</w:t>
      </w:r>
    </w:p>
    <w:p w14:paraId="03AE2B18" w14:textId="77777777" w:rsidR="00B209B8" w:rsidRDefault="002A09F3">
      <w:pPr>
        <w:pStyle w:val="1"/>
      </w:pPr>
      <w:bookmarkStart w:id="19" w:name="список-приложений"/>
      <w:bookmarkStart w:id="20" w:name="_Toc226251484"/>
      <w:bookmarkStart w:id="21" w:name="_Toc230426983"/>
      <w:bookmarkEnd w:id="19"/>
      <w:bookmarkEnd w:id="20"/>
      <w:r>
        <w:t>СПИСОК ПРИЛОЖЕНИЙ</w:t>
      </w:r>
      <w:bookmarkEnd w:id="21"/>
    </w:p>
    <w:p w14:paraId="4BB7EB7E" w14:textId="77777777" w:rsidR="00B209B8" w:rsidRDefault="002A09F3">
      <w:pPr>
        <w:pStyle w:val="FirstParagraph"/>
      </w:pPr>
      <w:r>
        <w:t>В состав приложений к выпускной квалификационной работе целесообразно включить следующие материалы.</w:t>
      </w:r>
    </w:p>
    <w:p w14:paraId="69D22E51" w14:textId="77777777" w:rsidR="00B209B8" w:rsidRDefault="002A09F3">
      <w:pPr>
        <w:pStyle w:val="Compact"/>
        <w:numPr>
          <w:ilvl w:val="0"/>
          <w:numId w:val="24"/>
        </w:numPr>
      </w:pPr>
      <w:r>
        <w:rPr>
          <w:b/>
          <w:bCs/>
        </w:rPr>
        <w:t>Приложение А.</w:t>
      </w:r>
      <w:r>
        <w:t xml:space="preserve"> Схема автоматизируемого бизнес-процесса инициации проекта в платформе «Проектория».</w:t>
      </w:r>
    </w:p>
    <w:p w14:paraId="3F47C8B2" w14:textId="77777777" w:rsidR="00B209B8" w:rsidRDefault="002A09F3">
      <w:pPr>
        <w:pStyle w:val="Compact"/>
        <w:numPr>
          <w:ilvl w:val="0"/>
          <w:numId w:val="24"/>
        </w:numPr>
      </w:pPr>
      <w:r>
        <w:rPr>
          <w:b/>
          <w:bCs/>
        </w:rPr>
        <w:t>Приложение Б.</w:t>
      </w:r>
      <w:r>
        <w:t xml:space="preserve"> Архитектурная схема платформы «Проектория».</w:t>
      </w:r>
    </w:p>
    <w:p w14:paraId="3FEB2463" w14:textId="77777777" w:rsidR="00B209B8" w:rsidRDefault="002A09F3">
      <w:pPr>
        <w:pStyle w:val="Compact"/>
        <w:numPr>
          <w:ilvl w:val="0"/>
          <w:numId w:val="24"/>
        </w:numPr>
      </w:pPr>
      <w:r>
        <w:rPr>
          <w:b/>
          <w:bCs/>
        </w:rPr>
        <w:t>Приложение В.</w:t>
      </w:r>
      <w:r>
        <w:t xml:space="preserve"> Схема взаимодействия frontend, backend, PostgreSQL, Redis, </w:t>
      </w:r>
      <w:r>
        <w:rPr>
          <w:rStyle w:val="VerbatimChar"/>
        </w:rPr>
        <w:t>n8n</w:t>
      </w:r>
      <w:r>
        <w:t xml:space="preserve"> и </w:t>
      </w:r>
      <w:r>
        <w:rPr>
          <w:rStyle w:val="VerbatimChar"/>
        </w:rPr>
        <w:t>Ollama</w:t>
      </w:r>
      <w:r>
        <w:t>.</w:t>
      </w:r>
    </w:p>
    <w:p w14:paraId="3ADFCDFF" w14:textId="77777777" w:rsidR="00B209B8" w:rsidRDefault="002A09F3">
      <w:pPr>
        <w:pStyle w:val="Compact"/>
        <w:numPr>
          <w:ilvl w:val="0"/>
          <w:numId w:val="24"/>
        </w:numPr>
      </w:pPr>
      <w:r>
        <w:rPr>
          <w:b/>
          <w:bCs/>
        </w:rPr>
        <w:t>Приложение Г.</w:t>
      </w:r>
      <w:r>
        <w:t xml:space="preserve"> ER-диаграмма базы данных платформы.</w:t>
      </w:r>
    </w:p>
    <w:p w14:paraId="36EE75EC" w14:textId="77777777" w:rsidR="00B209B8" w:rsidRDefault="002A09F3">
      <w:pPr>
        <w:pStyle w:val="Compact"/>
        <w:numPr>
          <w:ilvl w:val="0"/>
          <w:numId w:val="24"/>
        </w:numPr>
      </w:pPr>
      <w:r>
        <w:rPr>
          <w:b/>
          <w:bCs/>
        </w:rPr>
        <w:t>Приложение Д.</w:t>
      </w:r>
      <w:r>
        <w:t xml:space="preserve"> Таблица основных сущностей системы и их связей.</w:t>
      </w:r>
    </w:p>
    <w:p w14:paraId="752EA0BE" w14:textId="77777777" w:rsidR="00B209B8" w:rsidRDefault="002A09F3">
      <w:pPr>
        <w:pStyle w:val="Compact"/>
        <w:numPr>
          <w:ilvl w:val="0"/>
          <w:numId w:val="24"/>
        </w:numPr>
      </w:pPr>
      <w:r>
        <w:rPr>
          <w:b/>
          <w:bCs/>
        </w:rPr>
        <w:t>Приложение Е.</w:t>
      </w:r>
      <w:r>
        <w:t xml:space="preserve"> Таблица статусов проекта, анализа, рассылки и отклика.</w:t>
      </w:r>
    </w:p>
    <w:p w14:paraId="18D99A34" w14:textId="77777777" w:rsidR="00B209B8" w:rsidRDefault="002A09F3">
      <w:pPr>
        <w:pStyle w:val="Compact"/>
        <w:numPr>
          <w:ilvl w:val="0"/>
          <w:numId w:val="24"/>
        </w:numPr>
      </w:pPr>
      <w:r>
        <w:rPr>
          <w:b/>
          <w:bCs/>
        </w:rPr>
        <w:t>Приложение Ж.</w:t>
      </w:r>
      <w:r>
        <w:t xml:space="preserve"> Таблица основных маршрутов backend API.</w:t>
      </w:r>
    </w:p>
    <w:p w14:paraId="6EFD760F" w14:textId="77777777" w:rsidR="00B209B8" w:rsidRDefault="002A09F3">
      <w:pPr>
        <w:pStyle w:val="Compact"/>
        <w:numPr>
          <w:ilvl w:val="0"/>
          <w:numId w:val="24"/>
        </w:numPr>
      </w:pPr>
      <w:r>
        <w:rPr>
          <w:b/>
          <w:bCs/>
        </w:rPr>
        <w:t>Приложение З.</w:t>
      </w:r>
      <w:r>
        <w:t xml:space="preserve"> Фрагменты Prisma-схемы и ключевых миграций базы данных.</w:t>
      </w:r>
    </w:p>
    <w:p w14:paraId="0CA70DFF" w14:textId="77777777" w:rsidR="00B209B8" w:rsidRDefault="002A09F3">
      <w:pPr>
        <w:pStyle w:val="Compact"/>
        <w:numPr>
          <w:ilvl w:val="0"/>
          <w:numId w:val="24"/>
        </w:numPr>
      </w:pPr>
      <w:r>
        <w:rPr>
          <w:b/>
          <w:bCs/>
        </w:rPr>
        <w:t>Приложение И.</w:t>
      </w:r>
      <w:r>
        <w:t xml:space="preserve"> Контракт </w:t>
      </w:r>
      <w:r>
        <w:rPr>
          <w:rStyle w:val="VerbatimChar"/>
        </w:rPr>
        <w:t>n8n</w:t>
      </w:r>
      <w:r>
        <w:t>-workflow и пример структуры результата анализа.</w:t>
      </w:r>
    </w:p>
    <w:p w14:paraId="7FD09C84" w14:textId="77777777" w:rsidR="00B209B8" w:rsidRDefault="002A09F3">
      <w:pPr>
        <w:pStyle w:val="Compact"/>
        <w:numPr>
          <w:ilvl w:val="0"/>
          <w:numId w:val="24"/>
        </w:numPr>
      </w:pPr>
      <w:r>
        <w:rPr>
          <w:b/>
          <w:bCs/>
        </w:rPr>
        <w:t>Приложение К.</w:t>
      </w:r>
      <w:r>
        <w:t xml:space="preserve"> Скриншоты пользовательских интерфейсов системы «Проектория».</w:t>
      </w:r>
    </w:p>
    <w:p w14:paraId="01116C98" w14:textId="77777777" w:rsidR="00B209B8" w:rsidRDefault="002A09F3">
      <w:pPr>
        <w:pStyle w:val="Compact"/>
        <w:numPr>
          <w:ilvl w:val="0"/>
          <w:numId w:val="24"/>
        </w:numPr>
      </w:pPr>
      <w:r>
        <w:rPr>
          <w:b/>
          <w:bCs/>
        </w:rPr>
        <w:t>Приложение Л.</w:t>
      </w:r>
      <w:r>
        <w:t xml:space="preserve"> Пример письма подразделению и форма публичного отклика.</w:t>
      </w:r>
    </w:p>
    <w:p w14:paraId="147FA16B" w14:textId="77777777" w:rsidR="00B209B8" w:rsidRDefault="002A09F3">
      <w:pPr>
        <w:pStyle w:val="Compact"/>
        <w:numPr>
          <w:ilvl w:val="0"/>
          <w:numId w:val="24"/>
        </w:numPr>
      </w:pPr>
      <w:r>
        <w:rPr>
          <w:b/>
          <w:bCs/>
        </w:rPr>
        <w:t>Приложение М.</w:t>
      </w:r>
      <w:r>
        <w:t xml:space="preserve"> Фрагменты unit-тестов ключевых сервисных модулей.</w:t>
      </w:r>
    </w:p>
    <w:p w14:paraId="7F604110" w14:textId="77777777" w:rsidR="00B209B8" w:rsidRDefault="002A09F3">
      <w:pPr>
        <w:pStyle w:val="1"/>
      </w:pPr>
      <w:bookmarkStart w:id="22" w:name="библиографический-список"/>
      <w:bookmarkStart w:id="23" w:name="_Toc226251485"/>
      <w:bookmarkStart w:id="24" w:name="_Toc230426984"/>
      <w:bookmarkEnd w:id="22"/>
      <w:bookmarkEnd w:id="23"/>
      <w:r>
        <w:t>БИБЛИОГРАФИЧЕСКИЙ СПИСОК</w:t>
      </w:r>
      <w:bookmarkEnd w:id="24"/>
    </w:p>
    <w:p w14:paraId="2AACFB30" w14:textId="77777777" w:rsidR="00B209B8" w:rsidRDefault="002A09F3">
      <w:pPr>
        <w:pStyle w:val="Compact"/>
        <w:numPr>
          <w:ilvl w:val="0"/>
          <w:numId w:val="25"/>
        </w:numPr>
      </w:pPr>
      <w:r>
        <w:t>Федеральный закон от 29.12.2012 № 273-ФЗ «Об образовании в Российской Федерации» [Электронный ресурс]. URL: https://publication.pravo.gov.ru/document/0001201212300007 (дата обращения: 05.04.2026).</w:t>
      </w:r>
    </w:p>
    <w:p w14:paraId="492D1FC0" w14:textId="77777777" w:rsidR="00B209B8" w:rsidRDefault="002A09F3">
      <w:pPr>
        <w:pStyle w:val="Compact"/>
        <w:numPr>
          <w:ilvl w:val="0"/>
          <w:numId w:val="25"/>
        </w:numPr>
      </w:pPr>
      <w:r>
        <w:t>Министерство науки и высшего образования Российской Федерации. Стратегия цифровой трансформации отрасли науки и высшего образования [Электронный ресурс]. URL: https://minobrnauki.gov.ru/upload/iblock/e16/dv6edzmr0og5dm57dtm0wyllr6uwtujw.pdf (дата обращения: 05.04.2026).</w:t>
      </w:r>
    </w:p>
    <w:p w14:paraId="6327F53F" w14:textId="77777777" w:rsidR="00B209B8" w:rsidRPr="009529FE" w:rsidRDefault="002A09F3">
      <w:pPr>
        <w:pStyle w:val="Compact"/>
        <w:numPr>
          <w:ilvl w:val="0"/>
          <w:numId w:val="25"/>
        </w:numPr>
        <w:rPr>
          <w:lang w:val="en-US"/>
        </w:rPr>
      </w:pPr>
      <w:r>
        <w:rPr>
          <w:lang w:val="en-US"/>
        </w:rPr>
        <w:t>OECD Digital Education Outlook 2021: Pushing the Frontiers with Artificial Intelligence, Blockchain and Robots. Paris : OECD Publishing, 2021. URL: https://doi.org/10.1787/589b283f-en (</w:t>
      </w:r>
      <w:r>
        <w:t>дата</w:t>
      </w:r>
      <w:r>
        <w:rPr>
          <w:lang w:val="en-US"/>
        </w:rPr>
        <w:t xml:space="preserve"> </w:t>
      </w:r>
      <w:r>
        <w:t>обращения</w:t>
      </w:r>
      <w:r>
        <w:rPr>
          <w:lang w:val="en-US"/>
        </w:rPr>
        <w:t>: 05.04.2026).</w:t>
      </w:r>
    </w:p>
    <w:p w14:paraId="0EF84C54" w14:textId="77777777" w:rsidR="00B209B8" w:rsidRDefault="002A09F3">
      <w:pPr>
        <w:pStyle w:val="Compact"/>
        <w:numPr>
          <w:ilvl w:val="0"/>
          <w:numId w:val="25"/>
        </w:numPr>
      </w:pPr>
      <w:r>
        <w:rPr>
          <w:lang w:val="en-US"/>
        </w:rPr>
        <w:lastRenderedPageBreak/>
        <w:t xml:space="preserve">Miao F., Holmes W. Guidance for Generative AI in Education and Research. </w:t>
      </w:r>
      <w:r>
        <w:t>Paris : UNESCO, 2023. URL: https://unesdoc.unesco.org/ark:/48223/pf0000386693 (дата обращения: 05.04.2026).</w:t>
      </w:r>
    </w:p>
    <w:p w14:paraId="6694EF35" w14:textId="77777777" w:rsidR="00B209B8" w:rsidRPr="009529FE" w:rsidRDefault="002A09F3">
      <w:pPr>
        <w:pStyle w:val="Compact"/>
        <w:numPr>
          <w:ilvl w:val="0"/>
          <w:numId w:val="25"/>
        </w:numPr>
        <w:rPr>
          <w:lang w:val="en-US"/>
        </w:rPr>
      </w:pPr>
      <w:r>
        <w:rPr>
          <w:lang w:val="en-US"/>
        </w:rPr>
        <w:t>Dumas M., La Rosa M., Mendling J., Reijers H. A. Fundamentals of Business Process Management. 2nd ed. Berlin ; Heidelberg : Springer, 2018. URL: https://link.springer.com/book/10.1007/978-3-662-56509-4 (</w:t>
      </w:r>
      <w:r>
        <w:t>дата</w:t>
      </w:r>
      <w:r>
        <w:rPr>
          <w:lang w:val="en-US"/>
        </w:rPr>
        <w:t xml:space="preserve"> </w:t>
      </w:r>
      <w:r>
        <w:t>обращения</w:t>
      </w:r>
      <w:r>
        <w:rPr>
          <w:lang w:val="en-US"/>
        </w:rPr>
        <w:t>: 05.04.2026).</w:t>
      </w:r>
    </w:p>
    <w:p w14:paraId="7AA9A309" w14:textId="77777777" w:rsidR="00B209B8" w:rsidRPr="009529FE" w:rsidRDefault="002A09F3">
      <w:pPr>
        <w:pStyle w:val="Compact"/>
        <w:numPr>
          <w:ilvl w:val="0"/>
          <w:numId w:val="25"/>
        </w:numPr>
        <w:rPr>
          <w:lang w:val="en-US"/>
        </w:rPr>
      </w:pPr>
      <w:r>
        <w:rPr>
          <w:lang w:val="en-US"/>
        </w:rPr>
        <w:t>Sommerville I. Software Engineering. 10th ed. Boston : Pearson, 2015. URL: https://www.pearson.com/en-us/subject-catalog/p/redirected-product/P200000003258 (</w:t>
      </w:r>
      <w:r>
        <w:t>дата</w:t>
      </w:r>
      <w:r>
        <w:rPr>
          <w:lang w:val="en-US"/>
        </w:rPr>
        <w:t xml:space="preserve"> </w:t>
      </w:r>
      <w:r>
        <w:t>обращения</w:t>
      </w:r>
      <w:r>
        <w:rPr>
          <w:lang w:val="en-US"/>
        </w:rPr>
        <w:t>: 05.04.2026).</w:t>
      </w:r>
    </w:p>
    <w:p w14:paraId="58E087DB" w14:textId="77777777" w:rsidR="00B209B8" w:rsidRDefault="002A09F3">
      <w:pPr>
        <w:pStyle w:val="Compact"/>
        <w:numPr>
          <w:ilvl w:val="0"/>
          <w:numId w:val="25"/>
        </w:numPr>
      </w:pPr>
      <w:r>
        <w:rPr>
          <w:lang w:val="en-US"/>
        </w:rPr>
        <w:t xml:space="preserve">Project Management Institute. PMBOK® Guide. 8th ed. Newtown Square, PA : Project Management Institute, 2025. </w:t>
      </w:r>
      <w:r>
        <w:t>URL: https://www.pmi.org/PMBOK-Guide-and-Standards/Standards-Library-of-PMI-Global-Standards.aspx (дата обращения: 05.04.2026).</w:t>
      </w:r>
    </w:p>
    <w:p w14:paraId="38C8B281" w14:textId="77777777" w:rsidR="00B209B8" w:rsidRDefault="002A09F3">
      <w:pPr>
        <w:pStyle w:val="Compact"/>
        <w:numPr>
          <w:ilvl w:val="0"/>
          <w:numId w:val="25"/>
        </w:numPr>
      </w:pPr>
      <w:r>
        <w:t>Next.js Docs [Электронный ресурс]. URL: https://nextjs.org/docs (дата обращения: 05.04.2026).</w:t>
      </w:r>
    </w:p>
    <w:p w14:paraId="0674BF75" w14:textId="77777777" w:rsidR="00B209B8" w:rsidRDefault="002A09F3">
      <w:pPr>
        <w:pStyle w:val="Compact"/>
        <w:numPr>
          <w:ilvl w:val="0"/>
          <w:numId w:val="25"/>
        </w:numPr>
      </w:pPr>
      <w:r>
        <w:t>NestJS. Documentation [Электронный ресурс]. URL: https://docs.nestjs.com/ (дата обращения: 05.04.2026).</w:t>
      </w:r>
    </w:p>
    <w:p w14:paraId="47E18EA5" w14:textId="77777777" w:rsidR="00B209B8" w:rsidRDefault="002A09F3">
      <w:pPr>
        <w:pStyle w:val="Compact"/>
        <w:numPr>
          <w:ilvl w:val="0"/>
          <w:numId w:val="25"/>
        </w:numPr>
      </w:pPr>
      <w:r>
        <w:rPr>
          <w:lang w:val="en-US"/>
        </w:rPr>
        <w:t>Prisma ORM Documentation [</w:t>
      </w:r>
      <w:r>
        <w:t>Электронный</w:t>
      </w:r>
      <w:r>
        <w:rPr>
          <w:lang w:val="en-US"/>
        </w:rPr>
        <w:t xml:space="preserve"> </w:t>
      </w:r>
      <w:r>
        <w:t>ресурс</w:t>
      </w:r>
      <w:r>
        <w:rPr>
          <w:lang w:val="en-US"/>
        </w:rPr>
        <w:t xml:space="preserve">]. </w:t>
      </w:r>
      <w:r>
        <w:t>URL: https://docs.prisma.io/docs/orm (дата обращения: 05.04.2026).</w:t>
      </w:r>
    </w:p>
    <w:p w14:paraId="332A310D" w14:textId="77777777" w:rsidR="00B209B8" w:rsidRDefault="002A09F3">
      <w:pPr>
        <w:pStyle w:val="Compact"/>
        <w:numPr>
          <w:ilvl w:val="0"/>
          <w:numId w:val="25"/>
        </w:numPr>
      </w:pPr>
      <w:r>
        <w:t>PostgreSQL 17 Documentation [Электронный ресурс]. URL: https://www.postgresql.org/docs/17/index.html (дата обращения: 05.04.2026).</w:t>
      </w:r>
    </w:p>
    <w:p w14:paraId="74A882C8" w14:textId="77777777" w:rsidR="00B209B8" w:rsidRDefault="002A09F3">
      <w:pPr>
        <w:pStyle w:val="Compact"/>
        <w:numPr>
          <w:ilvl w:val="0"/>
          <w:numId w:val="25"/>
        </w:numPr>
      </w:pPr>
      <w:r>
        <w:rPr>
          <w:lang w:val="en-US"/>
        </w:rPr>
        <w:t>Redis Open Source Documentation [</w:t>
      </w:r>
      <w:r>
        <w:t>Электронный</w:t>
      </w:r>
      <w:r>
        <w:rPr>
          <w:lang w:val="en-US"/>
        </w:rPr>
        <w:t xml:space="preserve"> </w:t>
      </w:r>
      <w:r>
        <w:t>ресурс</w:t>
      </w:r>
      <w:r>
        <w:rPr>
          <w:lang w:val="en-US"/>
        </w:rPr>
        <w:t xml:space="preserve">]. </w:t>
      </w:r>
      <w:r>
        <w:t>URL: https://redis.io/docs/latest/get-started/ (дата обращения: 05.04.2026).</w:t>
      </w:r>
    </w:p>
    <w:p w14:paraId="7FAE224C" w14:textId="77777777" w:rsidR="00B209B8" w:rsidRDefault="002A09F3">
      <w:pPr>
        <w:pStyle w:val="Compact"/>
        <w:numPr>
          <w:ilvl w:val="0"/>
          <w:numId w:val="25"/>
        </w:numPr>
      </w:pPr>
      <w:r>
        <w:t>BullMQ Documentation [Электронный ресурс]. URL: https://docs.bullmq.io/ (дата обращения: 05.04.2026).</w:t>
      </w:r>
    </w:p>
    <w:p w14:paraId="5666B053" w14:textId="77777777" w:rsidR="00B209B8" w:rsidRDefault="002A09F3">
      <w:pPr>
        <w:pStyle w:val="Compact"/>
        <w:numPr>
          <w:ilvl w:val="0"/>
          <w:numId w:val="25"/>
        </w:numPr>
      </w:pPr>
      <w:r>
        <w:t>n8n Docs [Электронный ресурс]. URL: https://docs.n8n.io/ (дата обращения: 05.04.2026).</w:t>
      </w:r>
    </w:p>
    <w:p w14:paraId="3C873D97" w14:textId="77777777" w:rsidR="00B209B8" w:rsidRDefault="002A09F3">
      <w:pPr>
        <w:pStyle w:val="Compact"/>
        <w:numPr>
          <w:ilvl w:val="0"/>
          <w:numId w:val="25"/>
        </w:numPr>
      </w:pPr>
      <w:r>
        <w:t>Ollama’s documentation [Электронный ресурс]. URL: https://docs.ollama.com/ (дата обращения: 05.04.2026).</w:t>
      </w:r>
    </w:p>
    <w:p w14:paraId="2B5290BD" w14:textId="77777777" w:rsidR="00B209B8" w:rsidRDefault="002A09F3">
      <w:pPr>
        <w:pStyle w:val="Compact"/>
        <w:numPr>
          <w:ilvl w:val="0"/>
          <w:numId w:val="25"/>
        </w:numPr>
      </w:pPr>
      <w:r>
        <w:rPr>
          <w:lang w:val="en-US"/>
        </w:rPr>
        <w:t>Docker Docs. Compose file reference [</w:t>
      </w:r>
      <w:r>
        <w:t>Электронный</w:t>
      </w:r>
      <w:r>
        <w:rPr>
          <w:lang w:val="en-US"/>
        </w:rPr>
        <w:t xml:space="preserve"> </w:t>
      </w:r>
      <w:r>
        <w:t>ресурс</w:t>
      </w:r>
      <w:r>
        <w:rPr>
          <w:lang w:val="en-US"/>
        </w:rPr>
        <w:t xml:space="preserve">]. </w:t>
      </w:r>
      <w:r>
        <w:t>URL: https://docs.docker.com/compose/compose-file/ (дата обращения: 05.04.2026).</w:t>
      </w:r>
    </w:p>
    <w:p w14:paraId="1987760F" w14:textId="77777777" w:rsidR="00B209B8" w:rsidRDefault="002A09F3">
      <w:pPr>
        <w:pStyle w:val="Compact"/>
        <w:numPr>
          <w:ilvl w:val="0"/>
          <w:numId w:val="25"/>
        </w:numPr>
      </w:pPr>
      <w:r>
        <w:rPr>
          <w:lang w:val="en-US"/>
        </w:rPr>
        <w:t>OWASP Cheat Sheet Series. Cross-Site Request Forgery Prevention Cheat Sheet [</w:t>
      </w:r>
      <w:r>
        <w:t>Электронный</w:t>
      </w:r>
      <w:r>
        <w:rPr>
          <w:lang w:val="en-US"/>
        </w:rPr>
        <w:t xml:space="preserve"> </w:t>
      </w:r>
      <w:r>
        <w:t>ресурс</w:t>
      </w:r>
      <w:r>
        <w:rPr>
          <w:lang w:val="en-US"/>
        </w:rPr>
        <w:t xml:space="preserve">]. </w:t>
      </w:r>
      <w:r>
        <w:t>URL: https://cheatsheetseries.owasp.org/cheatsheets/Cross-Site_Request_Forgery_Prevention_Cheat_Sheet.html (дата обращения: 05.04.2026).</w:t>
      </w:r>
    </w:p>
    <w:p w14:paraId="7CC8D74A" w14:textId="77777777" w:rsidR="00B209B8" w:rsidRDefault="002A09F3">
      <w:pPr>
        <w:pStyle w:val="Compact"/>
        <w:numPr>
          <w:ilvl w:val="0"/>
          <w:numId w:val="25"/>
        </w:numPr>
      </w:pPr>
      <w:r>
        <w:t>RFC 7519: JSON Web Token (JWT) [Электронный ресурс]. URL: https://www.rfc-editor.org/rfc/rfc7519 (дата обращения: 05.04.2026).</w:t>
      </w:r>
    </w:p>
    <w:p w14:paraId="3FF83AC7" w14:textId="77777777" w:rsidR="00B209B8" w:rsidRDefault="002A09F3">
      <w:pPr>
        <w:pStyle w:val="Compact"/>
        <w:numPr>
          <w:ilvl w:val="0"/>
          <w:numId w:val="25"/>
        </w:numPr>
      </w:pPr>
      <w:r>
        <w:rPr>
          <w:lang w:val="en-US"/>
        </w:rPr>
        <w:t>RFC 8725: JSON Web Token Best Current Practices [</w:t>
      </w:r>
      <w:r>
        <w:t>Электронный</w:t>
      </w:r>
      <w:r>
        <w:rPr>
          <w:lang w:val="en-US"/>
        </w:rPr>
        <w:t xml:space="preserve"> </w:t>
      </w:r>
      <w:r>
        <w:t>ресурс</w:t>
      </w:r>
      <w:r>
        <w:rPr>
          <w:lang w:val="en-US"/>
        </w:rPr>
        <w:t xml:space="preserve">]. </w:t>
      </w:r>
      <w:r>
        <w:t>URL: https://www.rfc-editor.org/rfc/rfc8725 (дата обращения: 05.04.2026).</w:t>
      </w:r>
    </w:p>
    <w:sectPr w:rsidR="00B209B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090F4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B45E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8F4FB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F256034"/>
    <w:multiLevelType w:val="hybridMultilevel"/>
    <w:tmpl w:val="D52EC6A2"/>
    <w:lvl w:ilvl="0" w:tplc="D5B41528">
      <w:start w:val="1"/>
      <w:numFmt w:val="bullet"/>
      <w:lvlText w:val="▬"/>
      <w:lvlJc w:val="left"/>
      <w:pPr>
        <w:ind w:left="720" w:hanging="360"/>
      </w:pPr>
    </w:lvl>
    <w:lvl w:ilvl="1" w:tplc="DF7C38CE">
      <w:start w:val="1"/>
      <w:numFmt w:val="bullet"/>
      <w:lvlText w:val="○"/>
      <w:lvlJc w:val="left"/>
      <w:pPr>
        <w:ind w:left="1440" w:hanging="360"/>
      </w:pPr>
    </w:lvl>
    <w:lvl w:ilvl="2" w:tplc="A5342684">
      <w:start w:val="1"/>
      <w:numFmt w:val="bullet"/>
      <w:lvlText w:val="■"/>
      <w:lvlJc w:val="left"/>
      <w:pPr>
        <w:ind w:left="2160" w:hanging="360"/>
      </w:pPr>
    </w:lvl>
    <w:lvl w:ilvl="3" w:tplc="E410D608">
      <w:start w:val="1"/>
      <w:numFmt w:val="bullet"/>
      <w:lvlText w:val="▬"/>
      <w:lvlJc w:val="left"/>
      <w:pPr>
        <w:ind w:left="2880" w:hanging="360"/>
      </w:pPr>
    </w:lvl>
    <w:lvl w:ilvl="4" w:tplc="A05ECDE8">
      <w:start w:val="1"/>
      <w:numFmt w:val="bullet"/>
      <w:lvlText w:val="○"/>
      <w:lvlJc w:val="left"/>
      <w:pPr>
        <w:ind w:left="3600" w:hanging="360"/>
      </w:pPr>
    </w:lvl>
    <w:lvl w:ilvl="5" w:tplc="B124242E">
      <w:start w:val="1"/>
      <w:numFmt w:val="bullet"/>
      <w:lvlText w:val="■"/>
      <w:lvlJc w:val="left"/>
      <w:pPr>
        <w:ind w:left="4320" w:hanging="360"/>
      </w:pPr>
    </w:lvl>
    <w:lvl w:ilvl="6" w:tplc="4D2023EA">
      <w:start w:val="1"/>
      <w:numFmt w:val="bullet"/>
      <w:lvlText w:val="▬"/>
      <w:lvlJc w:val="left"/>
      <w:pPr>
        <w:ind w:left="5040" w:hanging="360"/>
      </w:pPr>
    </w:lvl>
    <w:lvl w:ilvl="7" w:tplc="33C465D6">
      <w:start w:val="1"/>
      <w:numFmt w:val="bullet"/>
      <w:lvlText w:val="○"/>
      <w:lvlJc w:val="left"/>
      <w:pPr>
        <w:ind w:left="5760" w:hanging="360"/>
      </w:pPr>
    </w:lvl>
    <w:lvl w:ilvl="8" w:tplc="1B34F808">
      <w:start w:val="1"/>
      <w:numFmt w:val="bullet"/>
      <w:lvlText w:val="■"/>
      <w:lvlJc w:val="left"/>
      <w:pPr>
        <w:ind w:left="6480" w:hanging="360"/>
      </w:pPr>
    </w:lvl>
  </w:abstractNum>
  <w:abstractNum w:abstractNumId="4" w15:restartNumberingAfterBreak="0">
    <w:nsid w:val="388E5406"/>
    <w:multiLevelType w:val="hybridMultilevel"/>
    <w:tmpl w:val="6210547E"/>
    <w:lvl w:ilvl="0" w:tplc="E5DCB776">
      <w:start w:val="1"/>
      <w:numFmt w:val="bullet"/>
      <w:lvlText w:val="●"/>
      <w:lvlJc w:val="left"/>
      <w:pPr>
        <w:ind w:left="720" w:hanging="360"/>
      </w:pPr>
    </w:lvl>
    <w:lvl w:ilvl="1" w:tplc="9F1465CC">
      <w:start w:val="1"/>
      <w:numFmt w:val="bullet"/>
      <w:lvlText w:val="○"/>
      <w:lvlJc w:val="left"/>
      <w:pPr>
        <w:ind w:left="1440" w:hanging="360"/>
      </w:pPr>
    </w:lvl>
    <w:lvl w:ilvl="2" w:tplc="A43E74C6">
      <w:start w:val="1"/>
      <w:numFmt w:val="bullet"/>
      <w:lvlText w:val="■"/>
      <w:lvlJc w:val="left"/>
      <w:pPr>
        <w:ind w:left="2160" w:hanging="360"/>
      </w:pPr>
    </w:lvl>
    <w:lvl w:ilvl="3" w:tplc="72CA1C7C">
      <w:start w:val="1"/>
      <w:numFmt w:val="bullet"/>
      <w:lvlText w:val="●"/>
      <w:lvlJc w:val="left"/>
      <w:pPr>
        <w:ind w:left="2880" w:hanging="360"/>
      </w:pPr>
    </w:lvl>
    <w:lvl w:ilvl="4" w:tplc="0DC45F56">
      <w:start w:val="1"/>
      <w:numFmt w:val="bullet"/>
      <w:lvlText w:val="○"/>
      <w:lvlJc w:val="left"/>
      <w:pPr>
        <w:ind w:left="3600" w:hanging="360"/>
      </w:pPr>
    </w:lvl>
    <w:lvl w:ilvl="5" w:tplc="D3D2CDD4">
      <w:start w:val="1"/>
      <w:numFmt w:val="bullet"/>
      <w:lvlText w:val="■"/>
      <w:lvlJc w:val="left"/>
      <w:pPr>
        <w:ind w:left="4320" w:hanging="360"/>
      </w:pPr>
    </w:lvl>
    <w:lvl w:ilvl="6" w:tplc="EFAE907C">
      <w:start w:val="1"/>
      <w:numFmt w:val="bullet"/>
      <w:lvlText w:val="●"/>
      <w:lvlJc w:val="left"/>
      <w:pPr>
        <w:ind w:left="5040" w:hanging="360"/>
      </w:pPr>
    </w:lvl>
    <w:lvl w:ilvl="7" w:tplc="87205A18">
      <w:start w:val="1"/>
      <w:numFmt w:val="bullet"/>
      <w:lvlText w:val="○"/>
      <w:lvlJc w:val="left"/>
      <w:pPr>
        <w:ind w:left="5760" w:hanging="360"/>
      </w:pPr>
    </w:lvl>
    <w:lvl w:ilvl="8" w:tplc="9ED289DC">
      <w:start w:val="1"/>
      <w:numFmt w:val="bullet"/>
      <w:lvlText w:val="■"/>
      <w:lvlJc w:val="left"/>
      <w:pPr>
        <w:ind w:left="6480" w:hanging="360"/>
      </w:pPr>
    </w:lvl>
  </w:abstractNum>
  <w:abstractNum w:abstractNumId="5" w15:restartNumberingAfterBreak="0">
    <w:nsid w:val="6BE9148A"/>
    <w:multiLevelType w:val="hybridMultilevel"/>
    <w:tmpl w:val="5D06450A"/>
    <w:lvl w:ilvl="0" w:tplc="27E84DD6">
      <w:start w:val="1"/>
      <w:numFmt w:val="decimal"/>
      <w:lvlText w:val="%1."/>
      <w:lvlJc w:val="left"/>
      <w:pPr>
        <w:ind w:left="720" w:hanging="360"/>
      </w:pPr>
    </w:lvl>
    <w:lvl w:ilvl="1" w:tplc="68F86BD0">
      <w:start w:val="1"/>
      <w:numFmt w:val="decimal"/>
      <w:lvlText w:val="%2."/>
      <w:lvlJc w:val="left"/>
      <w:pPr>
        <w:ind w:left="1440" w:hanging="360"/>
      </w:pPr>
    </w:lvl>
    <w:lvl w:ilvl="2" w:tplc="842860A4">
      <w:start w:val="1"/>
      <w:numFmt w:val="decimal"/>
      <w:lvlText w:val="%3."/>
      <w:lvlJc w:val="right"/>
      <w:pPr>
        <w:ind w:left="2160" w:hanging="180"/>
      </w:pPr>
    </w:lvl>
    <w:lvl w:ilvl="3" w:tplc="E1A06594">
      <w:start w:val="1"/>
      <w:numFmt w:val="decimal"/>
      <w:lvlText w:val="%4."/>
      <w:lvlJc w:val="left"/>
      <w:pPr>
        <w:ind w:left="2880" w:hanging="360"/>
      </w:pPr>
    </w:lvl>
    <w:lvl w:ilvl="4" w:tplc="65A6EAF2">
      <w:start w:val="1"/>
      <w:numFmt w:val="decimal"/>
      <w:lvlText w:val="%5."/>
      <w:lvlJc w:val="left"/>
      <w:pPr>
        <w:ind w:left="3600" w:hanging="360"/>
      </w:pPr>
    </w:lvl>
    <w:lvl w:ilvl="5" w:tplc="F0C0A374">
      <w:start w:val="1"/>
      <w:numFmt w:val="decimal"/>
      <w:lvlText w:val="%6."/>
      <w:lvlJc w:val="right"/>
      <w:pPr>
        <w:ind w:left="4320" w:hanging="180"/>
      </w:pPr>
    </w:lvl>
    <w:lvl w:ilvl="6" w:tplc="36DABA5E">
      <w:start w:val="1"/>
      <w:numFmt w:val="decimal"/>
      <w:lvlText w:val="%7."/>
      <w:lvlJc w:val="left"/>
      <w:pPr>
        <w:ind w:left="5040" w:hanging="360"/>
      </w:pPr>
    </w:lvl>
    <w:lvl w:ilvl="7" w:tplc="486E1B2C">
      <w:start w:val="1"/>
      <w:numFmt w:val="decimal"/>
      <w:lvlText w:val="%8."/>
      <w:lvlJc w:val="left"/>
      <w:pPr>
        <w:ind w:left="5760" w:hanging="360"/>
      </w:pPr>
    </w:lvl>
    <w:lvl w:ilvl="8" w:tplc="A844E50A">
      <w:start w:val="1"/>
      <w:numFmt w:val="decimal"/>
      <w:lvlText w:val="%9."/>
      <w:lvlJc w:val="right"/>
      <w:pPr>
        <w:ind w:left="6480" w:hanging="180"/>
      </w:pPr>
    </w:lvl>
  </w:abstractNum>
  <w:abstractNum w:abstractNumId="6" w15:restartNumberingAfterBreak="0">
    <w:nsid w:val="6CFC4FBE"/>
    <w:multiLevelType w:val="hybridMultilevel"/>
    <w:tmpl w:val="FC82D402"/>
    <w:lvl w:ilvl="0" w:tplc="EB941EF2">
      <w:start w:val="1"/>
      <w:numFmt w:val="bullet"/>
      <w:lvlText w:val="▬"/>
      <w:lvlJc w:val="left"/>
      <w:pPr>
        <w:ind w:left="720" w:hanging="360"/>
      </w:pPr>
    </w:lvl>
    <w:lvl w:ilvl="1" w:tplc="B4DA7EC4">
      <w:start w:val="1"/>
      <w:numFmt w:val="bullet"/>
      <w:lvlText w:val="○"/>
      <w:lvlJc w:val="left"/>
      <w:pPr>
        <w:ind w:left="1440" w:hanging="360"/>
      </w:pPr>
    </w:lvl>
    <w:lvl w:ilvl="2" w:tplc="BA305434">
      <w:start w:val="1"/>
      <w:numFmt w:val="bullet"/>
      <w:lvlText w:val="■"/>
      <w:lvlJc w:val="left"/>
      <w:pPr>
        <w:ind w:left="2160" w:hanging="360"/>
      </w:pPr>
    </w:lvl>
    <w:lvl w:ilvl="3" w:tplc="B3CC2FD0">
      <w:start w:val="1"/>
      <w:numFmt w:val="bullet"/>
      <w:lvlText w:val="▬"/>
      <w:lvlJc w:val="left"/>
      <w:pPr>
        <w:ind w:left="2880" w:hanging="360"/>
      </w:pPr>
    </w:lvl>
    <w:lvl w:ilvl="4" w:tplc="C1824750">
      <w:start w:val="1"/>
      <w:numFmt w:val="bullet"/>
      <w:lvlText w:val="○"/>
      <w:lvlJc w:val="left"/>
      <w:pPr>
        <w:ind w:left="3600" w:hanging="360"/>
      </w:pPr>
    </w:lvl>
    <w:lvl w:ilvl="5" w:tplc="37CC0A64">
      <w:start w:val="1"/>
      <w:numFmt w:val="bullet"/>
      <w:lvlText w:val="■"/>
      <w:lvlJc w:val="left"/>
      <w:pPr>
        <w:ind w:left="4320" w:hanging="360"/>
      </w:pPr>
    </w:lvl>
    <w:lvl w:ilvl="6" w:tplc="15304122">
      <w:start w:val="1"/>
      <w:numFmt w:val="bullet"/>
      <w:lvlText w:val="▬"/>
      <w:lvlJc w:val="left"/>
      <w:pPr>
        <w:ind w:left="5040" w:hanging="360"/>
      </w:pPr>
    </w:lvl>
    <w:lvl w:ilvl="7" w:tplc="29F05CDE">
      <w:start w:val="1"/>
      <w:numFmt w:val="bullet"/>
      <w:lvlText w:val="○"/>
      <w:lvlJc w:val="left"/>
      <w:pPr>
        <w:ind w:left="5760" w:hanging="360"/>
      </w:pPr>
    </w:lvl>
    <w:lvl w:ilvl="8" w:tplc="07546368">
      <w:start w:val="1"/>
      <w:numFmt w:val="bullet"/>
      <w:lvlText w:val="■"/>
      <w:lvlJc w:val="left"/>
      <w:pPr>
        <w:ind w:left="6480" w:hanging="360"/>
      </w:pPr>
    </w:lvl>
  </w:abstractNum>
  <w:abstractNum w:abstractNumId="7" w15:restartNumberingAfterBreak="0">
    <w:nsid w:val="7C2E3C03"/>
    <w:multiLevelType w:val="hybridMultilevel"/>
    <w:tmpl w:val="DAF21576"/>
    <w:lvl w:ilvl="0" w:tplc="9C3644D8">
      <w:start w:val="1"/>
      <w:numFmt w:val="bullet"/>
      <w:lvlText w:val="▬"/>
      <w:lvlJc w:val="left"/>
      <w:pPr>
        <w:ind w:left="720" w:hanging="360"/>
      </w:pPr>
    </w:lvl>
    <w:lvl w:ilvl="1" w:tplc="7004B3AE">
      <w:start w:val="1"/>
      <w:numFmt w:val="bullet"/>
      <w:lvlText w:val="○"/>
      <w:lvlJc w:val="left"/>
      <w:pPr>
        <w:ind w:left="1440" w:hanging="360"/>
      </w:pPr>
    </w:lvl>
    <w:lvl w:ilvl="2" w:tplc="A7C227BE">
      <w:start w:val="1"/>
      <w:numFmt w:val="bullet"/>
      <w:lvlText w:val="■"/>
      <w:lvlJc w:val="left"/>
      <w:pPr>
        <w:ind w:left="2160" w:hanging="360"/>
      </w:pPr>
    </w:lvl>
    <w:lvl w:ilvl="3" w:tplc="F6CC7C4A">
      <w:start w:val="1"/>
      <w:numFmt w:val="bullet"/>
      <w:lvlText w:val="▬"/>
      <w:lvlJc w:val="left"/>
      <w:pPr>
        <w:ind w:left="2880" w:hanging="360"/>
      </w:pPr>
    </w:lvl>
    <w:lvl w:ilvl="4" w:tplc="A782B8C4">
      <w:start w:val="1"/>
      <w:numFmt w:val="bullet"/>
      <w:lvlText w:val="○"/>
      <w:lvlJc w:val="left"/>
      <w:pPr>
        <w:ind w:left="3600" w:hanging="360"/>
      </w:pPr>
    </w:lvl>
    <w:lvl w:ilvl="5" w:tplc="BE320280">
      <w:start w:val="1"/>
      <w:numFmt w:val="bullet"/>
      <w:lvlText w:val="■"/>
      <w:lvlJc w:val="left"/>
      <w:pPr>
        <w:ind w:left="4320" w:hanging="360"/>
      </w:pPr>
    </w:lvl>
    <w:lvl w:ilvl="6" w:tplc="34446D28">
      <w:start w:val="1"/>
      <w:numFmt w:val="bullet"/>
      <w:lvlText w:val="▬"/>
      <w:lvlJc w:val="left"/>
      <w:pPr>
        <w:ind w:left="5040" w:hanging="360"/>
      </w:pPr>
    </w:lvl>
    <w:lvl w:ilvl="7" w:tplc="FFE00028">
      <w:start w:val="1"/>
      <w:numFmt w:val="bullet"/>
      <w:lvlText w:val="○"/>
      <w:lvlJc w:val="left"/>
      <w:pPr>
        <w:ind w:left="5760" w:hanging="360"/>
      </w:pPr>
    </w:lvl>
    <w:lvl w:ilvl="8" w:tplc="55D06122">
      <w:start w:val="1"/>
      <w:numFmt w:val="bullet"/>
      <w:lvlText w:val="■"/>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2"/>
  </w:num>
  <w:num w:numId="13">
    <w:abstractNumId w:val="1"/>
  </w:num>
  <w:num w:numId="14">
    <w:abstractNumId w:val="2"/>
  </w:num>
  <w:num w:numId="15">
    <w:abstractNumId w:val="2"/>
  </w:num>
  <w:num w:numId="16">
    <w:abstractNumId w:val="1"/>
  </w:num>
  <w:num w:numId="17">
    <w:abstractNumId w:val="2"/>
  </w:num>
  <w:num w:numId="18">
    <w:abstractNumId w:val="1"/>
  </w:num>
  <w:num w:numId="19">
    <w:abstractNumId w:val="2"/>
  </w:num>
  <w:num w:numId="20">
    <w:abstractNumId w:val="1"/>
  </w:num>
  <w:num w:numId="21">
    <w:abstractNumId w:val="2"/>
  </w:num>
  <w:num w:numId="22">
    <w:abstractNumId w:val="1"/>
  </w:num>
  <w:num w:numId="23">
    <w:abstractNumId w:val="1"/>
  </w:num>
  <w:num w:numId="24">
    <w:abstractNumId w:val="2"/>
  </w:num>
  <w:num w:numId="25">
    <w:abstractNumId w:val="2"/>
  </w:num>
  <w:num w:numId="26">
    <w:abstractNumId w:val="5"/>
  </w:num>
  <w:num w:numId="27">
    <w:abstractNumId w:val="4"/>
  </w:num>
  <w:num w:numId="28">
    <w:abstractNumId w:val="3"/>
  </w:num>
  <w:num w:numId="29">
    <w:abstractNumId w:val="6"/>
  </w:num>
  <w:num w:numId="30">
    <w:abstractNumId w:val="7"/>
  </w:num>
  <w:num w:numId="31">
    <w:abstractNumId w:val="1"/>
  </w:num>
  <w:num w:numId="32">
    <w:abstractNumId w:val="1"/>
  </w:num>
  <w:num w:numId="33">
    <w:abstractNumId w:val="1"/>
  </w:num>
  <w:num w:numId="34">
    <w:abstractNumId w:val="1"/>
  </w:num>
  <w:num w:numId="35">
    <w:abstractNumId w:val="1"/>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209B8"/>
    <w:rsid w:val="00065B21"/>
    <w:rsid w:val="00213A96"/>
    <w:rsid w:val="002A09F3"/>
    <w:rsid w:val="004F5445"/>
    <w:rsid w:val="00516924"/>
    <w:rsid w:val="007E348E"/>
    <w:rsid w:val="009529FE"/>
    <w:rsid w:val="009836DE"/>
    <w:rsid w:val="00B209B8"/>
    <w:rsid w:val="00B64A03"/>
    <w:rsid w:val="00BC1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9F3AB"/>
  <w15:docId w15:val="{A56B4274-4965-CD42-A6A2-9191E5792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ru-RU"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bstract">
    <w:name w:val="Abstract"/>
    <w:basedOn w:val="a"/>
    <w:next w:val="a0"/>
    <w:qFormat/>
    <w:pPr>
      <w:keepNext/>
      <w:keepLines/>
      <w:spacing w:before="100" w:after="300"/>
    </w:pPr>
    <w:rPr>
      <w:sz w:val="20"/>
      <w:szCs w:val="20"/>
    </w:rPr>
  </w:style>
  <w:style w:type="paragraph" w:customStyle="1" w:styleId="AbstractTitle">
    <w:name w:val="Abstract Title"/>
    <w:basedOn w:val="a"/>
    <w:next w:val="Abstract"/>
    <w:qFormat/>
    <w:pPr>
      <w:keepNext/>
      <w:keepLines/>
      <w:spacing w:before="300" w:after="0"/>
      <w:jc w:val="center"/>
    </w:pPr>
    <w:rPr>
      <w:b/>
      <w:sz w:val="20"/>
      <w:szCs w:val="20"/>
    </w:rPr>
  </w:style>
  <w:style w:type="character" w:customStyle="1" w:styleId="AlertTok">
    <w:name w:val="AlertTok"/>
    <w:basedOn w:val="VerbatimChar"/>
    <w:rPr>
      <w:rFonts w:ascii="Consolas" w:hAnsi="Consolas"/>
      <w:b/>
      <w:color w:val="FF0000"/>
      <w:sz w:val="22"/>
    </w:rPr>
  </w:style>
  <w:style w:type="character" w:customStyle="1" w:styleId="AnnotationTok">
    <w:name w:val="AnnotationTok"/>
    <w:basedOn w:val="VerbatimChar"/>
    <w:rPr>
      <w:rFonts w:ascii="Consolas" w:hAnsi="Consolas"/>
      <w:b/>
      <w:i/>
      <w:color w:val="60A0B0"/>
      <w:sz w:val="22"/>
    </w:rPr>
  </w:style>
  <w:style w:type="character" w:customStyle="1" w:styleId="AttributeTok">
    <w:name w:val="AttributeTok"/>
    <w:basedOn w:val="VerbatimChar"/>
    <w:rPr>
      <w:rFonts w:ascii="Consolas" w:hAnsi="Consolas"/>
      <w:color w:val="7D9029"/>
      <w:sz w:val="22"/>
    </w:rPr>
  </w:style>
  <w:style w:type="paragraph" w:customStyle="1" w:styleId="Author">
    <w:name w:val="Author"/>
    <w:basedOn w:val="a4"/>
    <w:next w:val="a0"/>
    <w:qFormat/>
    <w:pPr>
      <w:keepNext/>
      <w:keepLines/>
    </w:pPr>
    <w:rPr>
      <w:sz w:val="24"/>
      <w:szCs w:val="24"/>
    </w:rPr>
  </w:style>
  <w:style w:type="character" w:customStyle="1" w:styleId="BaseNTok">
    <w:name w:val="BaseNTok"/>
    <w:basedOn w:val="VerbatimChar"/>
    <w:rPr>
      <w:rFonts w:ascii="Consolas" w:hAnsi="Consolas"/>
      <w:color w:val="40A070"/>
      <w:sz w:val="22"/>
    </w:rPr>
  </w:style>
  <w:style w:type="paragraph" w:styleId="a5">
    <w:name w:val="Bibliography"/>
    <w:basedOn w:val="a"/>
    <w:qFormat/>
  </w:style>
  <w:style w:type="paragraph" w:styleId="a6">
    <w:name w:val="Block Text"/>
    <w:basedOn w:val="a0"/>
    <w:next w:val="a0"/>
    <w:uiPriority w:val="9"/>
    <w:unhideWhenUsed/>
    <w:qFormat/>
    <w:pPr>
      <w:spacing w:before="100" w:after="100"/>
      <w:ind w:left="480" w:right="480"/>
    </w:pPr>
  </w:style>
  <w:style w:type="paragraph" w:styleId="a0">
    <w:name w:val="Body Text"/>
    <w:basedOn w:val="a"/>
    <w:qFormat/>
    <w:pPr>
      <w:spacing w:before="180" w:after="180"/>
    </w:pPr>
  </w:style>
  <w:style w:type="character" w:customStyle="1" w:styleId="BuiltInTok">
    <w:name w:val="BuiltInTok"/>
    <w:basedOn w:val="VerbatimChar"/>
    <w:rPr>
      <w:rFonts w:ascii="Consolas" w:hAnsi="Consolas"/>
      <w:color w:val="008000"/>
      <w:sz w:val="22"/>
    </w:rPr>
  </w:style>
  <w:style w:type="paragraph" w:styleId="a7">
    <w:name w:val="caption"/>
    <w:basedOn w:val="a"/>
    <w:link w:val="a8"/>
    <w:pPr>
      <w:spacing w:after="120"/>
    </w:pPr>
    <w:rPr>
      <w:i/>
    </w:rPr>
  </w:style>
  <w:style w:type="character" w:customStyle="1" w:styleId="a8">
    <w:name w:val="Название объекта Знак"/>
    <w:basedOn w:val="a1"/>
    <w:link w:val="a7"/>
  </w:style>
  <w:style w:type="paragraph" w:customStyle="1" w:styleId="CaptionedFigure">
    <w:name w:val="Captioned Figure"/>
    <w:basedOn w:val="Figure"/>
    <w:pPr>
      <w:keepNext/>
    </w:pPr>
  </w:style>
  <w:style w:type="character" w:customStyle="1" w:styleId="CharTok">
    <w:name w:val="Char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CommentVarTok">
    <w:name w:val="CommentVarTok"/>
    <w:basedOn w:val="VerbatimChar"/>
    <w:rPr>
      <w:rFonts w:ascii="Consolas" w:hAnsi="Consolas"/>
      <w:b/>
      <w:i/>
      <w:color w:val="60A0B0"/>
      <w:sz w:val="22"/>
    </w:rPr>
  </w:style>
  <w:style w:type="paragraph" w:customStyle="1" w:styleId="Compact">
    <w:name w:val="Compact"/>
    <w:basedOn w:val="a0"/>
    <w:qFormat/>
    <w:pPr>
      <w:spacing w:before="36" w:after="36"/>
    </w:pPr>
  </w:style>
  <w:style w:type="character" w:customStyle="1" w:styleId="ConstantTok">
    <w:name w:val="ConstantTok"/>
    <w:basedOn w:val="VerbatimChar"/>
    <w:rPr>
      <w:rFonts w:ascii="Consolas" w:hAnsi="Consolas"/>
      <w:color w:val="880000"/>
      <w:sz w:val="22"/>
    </w:rPr>
  </w:style>
  <w:style w:type="character" w:customStyle="1" w:styleId="ControlFlowTok">
    <w:name w:val="ControlFlow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paragraph" w:styleId="a9">
    <w:name w:val="Date"/>
    <w:basedOn w:val="a4"/>
    <w:next w:val="a0"/>
    <w:qFormat/>
    <w:pPr>
      <w:keepNext/>
      <w:keepLines/>
    </w:pPr>
    <w:rPr>
      <w:sz w:val="24"/>
      <w:szCs w:val="24"/>
    </w:rPr>
  </w:style>
  <w:style w:type="character" w:customStyle="1" w:styleId="DecValTok">
    <w:name w:val="DecValTok"/>
    <w:basedOn w:val="VerbatimChar"/>
    <w:rPr>
      <w:rFonts w:ascii="Consolas" w:hAnsi="Consolas"/>
      <w:color w:val="40A070"/>
      <w:sz w:val="22"/>
    </w:rPr>
  </w:style>
  <w:style w:type="paragraph" w:customStyle="1" w:styleId="Definition">
    <w:name w:val="Definition"/>
    <w:basedOn w:val="a"/>
  </w:style>
  <w:style w:type="paragraph" w:customStyle="1" w:styleId="DefinitionTerm">
    <w:name w:val="Definition Term"/>
    <w:basedOn w:val="a"/>
    <w:next w:val="Definition"/>
    <w:pPr>
      <w:keepNext/>
      <w:keepLines/>
      <w:spacing w:after="0"/>
    </w:pPr>
    <w:rPr>
      <w:b/>
    </w:rPr>
  </w:style>
  <w:style w:type="character" w:customStyle="1" w:styleId="DocumentationTok">
    <w:name w:val="DocumentationTok"/>
    <w:basedOn w:val="VerbatimChar"/>
    <w:rPr>
      <w:rFonts w:ascii="Consolas" w:hAnsi="Consolas"/>
      <w:i/>
      <w:color w:val="BA2121"/>
      <w:sz w:val="22"/>
    </w:rPr>
  </w:style>
  <w:style w:type="character" w:customStyle="1" w:styleId="ErrorTok">
    <w:name w:val="ErrorTok"/>
    <w:basedOn w:val="VerbatimChar"/>
    <w:rPr>
      <w:rFonts w:ascii="Consolas" w:hAnsi="Consolas"/>
      <w:b/>
      <w:color w:val="FF0000"/>
      <w:sz w:val="22"/>
    </w:rPr>
  </w:style>
  <w:style w:type="character" w:customStyle="1" w:styleId="ExtensionTok">
    <w:name w:val="ExtensionTok"/>
    <w:basedOn w:val="VerbatimChar"/>
    <w:rPr>
      <w:rFonts w:ascii="Consolas" w:hAnsi="Consolas"/>
      <w:sz w:val="22"/>
    </w:rPr>
  </w:style>
  <w:style w:type="paragraph" w:customStyle="1" w:styleId="Figure">
    <w:name w:val="Figure"/>
    <w:basedOn w:val="a"/>
  </w:style>
  <w:style w:type="paragraph" w:customStyle="1" w:styleId="FirstParagraph">
    <w:name w:val="First Paragraph"/>
    <w:basedOn w:val="a0"/>
    <w:next w:val="a0"/>
    <w:qFormat/>
  </w:style>
  <w:style w:type="character" w:customStyle="1" w:styleId="FloatTok">
    <w:name w:val="FloatTok"/>
    <w:basedOn w:val="VerbatimChar"/>
    <w:rPr>
      <w:rFonts w:ascii="Consolas" w:hAnsi="Consolas"/>
      <w:color w:val="40A070"/>
      <w:sz w:val="22"/>
    </w:rPr>
  </w:style>
  <w:style w:type="paragraph" w:customStyle="1" w:styleId="FootnoteBlockText">
    <w:name w:val="Footnote Block Text"/>
    <w:basedOn w:val="aa"/>
    <w:next w:val="aa"/>
    <w:uiPriority w:val="9"/>
    <w:unhideWhenUsed/>
    <w:qFormat/>
    <w:pPr>
      <w:spacing w:before="100" w:after="100"/>
      <w:ind w:left="480" w:right="480"/>
    </w:pPr>
  </w:style>
  <w:style w:type="character" w:styleId="ab">
    <w:name w:val="footnote reference"/>
    <w:basedOn w:val="a8"/>
    <w:rPr>
      <w:vertAlign w:val="superscript"/>
    </w:rPr>
  </w:style>
  <w:style w:type="paragraph" w:styleId="aa">
    <w:name w:val="footnote text"/>
    <w:basedOn w:val="a"/>
    <w:uiPriority w:val="9"/>
    <w:unhideWhenUsed/>
    <w:qFormat/>
  </w:style>
  <w:style w:type="character" w:customStyle="1" w:styleId="FunctionTok">
    <w:name w:val="FunctionTok"/>
    <w:basedOn w:val="VerbatimChar"/>
    <w:rPr>
      <w:rFonts w:ascii="Consolas" w:hAnsi="Consolas"/>
      <w:color w:val="06287E"/>
      <w:sz w:val="22"/>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character" w:styleId="ac">
    <w:name w:val="Hyperlink"/>
    <w:basedOn w:val="a8"/>
    <w:uiPriority w:val="99"/>
    <w:rPr>
      <w:color w:val="156082" w:themeColor="accent1"/>
    </w:rPr>
  </w:style>
  <w:style w:type="paragraph" w:customStyle="1" w:styleId="ImageCaption">
    <w:name w:val="Image Caption"/>
    <w:basedOn w:val="a7"/>
  </w:style>
  <w:style w:type="character" w:customStyle="1" w:styleId="ImportTok">
    <w:name w:val="ImportTok"/>
    <w:basedOn w:val="VerbatimChar"/>
    <w:rPr>
      <w:rFonts w:ascii="Consolas" w:hAnsi="Consolas"/>
      <w:b/>
      <w:color w:val="008000"/>
      <w:sz w:val="22"/>
    </w:rPr>
  </w:style>
  <w:style w:type="character" w:customStyle="1" w:styleId="InformationTok">
    <w:name w:val="InformationTok"/>
    <w:basedOn w:val="VerbatimChar"/>
    <w:rPr>
      <w:rFonts w:ascii="Consolas" w:hAnsi="Consolas"/>
      <w:b/>
      <w:i/>
      <w:color w:val="60A0B0"/>
      <w:sz w:val="22"/>
    </w:rPr>
  </w:style>
  <w:style w:type="character" w:customStyle="1" w:styleId="KeywordTok">
    <w:name w:val="KeywordTok"/>
    <w:basedOn w:val="VerbatimChar"/>
    <w:rPr>
      <w:rFonts w:ascii="Consolas" w:hAnsi="Consolas"/>
      <w:b/>
      <w:color w:val="007020"/>
      <w:sz w:val="22"/>
    </w:rPr>
  </w:style>
  <w:style w:type="character" w:customStyle="1" w:styleId="NormalTok">
    <w:name w:val="NormalTok"/>
    <w:basedOn w:val="VerbatimChar"/>
    <w:rPr>
      <w:rFonts w:ascii="Consolas" w:hAnsi="Consolas"/>
      <w:sz w:val="22"/>
    </w:rPr>
  </w:style>
  <w:style w:type="character" w:customStyle="1" w:styleId="OperatorTok">
    <w:name w:val="OperatorTok"/>
    <w:basedOn w:val="VerbatimChar"/>
    <w:rPr>
      <w:rFonts w:ascii="Consolas" w:hAnsi="Consolas"/>
      <w:color w:val="666666"/>
      <w:sz w:val="22"/>
    </w:rPr>
  </w:style>
  <w:style w:type="character" w:customStyle="1" w:styleId="OtherTok">
    <w:name w:val="OtherTok"/>
    <w:basedOn w:val="VerbatimChar"/>
    <w:rPr>
      <w:rFonts w:ascii="Consolas" w:hAnsi="Consolas"/>
      <w:color w:val="007020"/>
      <w:sz w:val="22"/>
    </w:rPr>
  </w:style>
  <w:style w:type="character" w:customStyle="1" w:styleId="PreprocessorTok">
    <w:name w:val="PreprocessorTok"/>
    <w:basedOn w:val="VerbatimChar"/>
    <w:rPr>
      <w:rFonts w:ascii="Consolas" w:hAnsi="Consolas"/>
      <w:color w:val="BC7A00"/>
      <w:sz w:val="22"/>
    </w:rPr>
  </w:style>
  <w:style w:type="character" w:customStyle="1" w:styleId="RegionMarkerTok">
    <w:name w:val="RegionMarkerTok"/>
    <w:basedOn w:val="VerbatimChar"/>
    <w:rPr>
      <w:rFonts w:ascii="Consolas" w:hAnsi="Consolas"/>
      <w:sz w:val="22"/>
    </w:rPr>
  </w:style>
  <w:style w:type="character" w:customStyle="1" w:styleId="SectionNumber">
    <w:name w:val="Section Number"/>
    <w:basedOn w:val="a8"/>
  </w:style>
  <w:style w:type="paragraph" w:customStyle="1" w:styleId="SourceCode">
    <w:name w:val="Source Code"/>
    <w:basedOn w:val="a"/>
    <w:link w:val="VerbatimChar"/>
    <w:pPr>
      <w:wordWrap w:val="0"/>
    </w:pPr>
  </w:style>
  <w:style w:type="character" w:customStyle="1" w:styleId="SpecialCharTok">
    <w:name w:val="SpecialChar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StringTok">
    <w:name w:val="StringTok"/>
    <w:basedOn w:val="VerbatimChar"/>
    <w:rPr>
      <w:rFonts w:ascii="Consolas" w:hAnsi="Consolas"/>
      <w:color w:val="4070A0"/>
      <w:sz w:val="22"/>
    </w:rPr>
  </w:style>
  <w:style w:type="paragraph" w:styleId="ad">
    <w:name w:val="Subtitle"/>
    <w:basedOn w:val="a4"/>
    <w:next w:val="a0"/>
    <w:link w:val="ae"/>
    <w:uiPriority w:val="11"/>
    <w:qFormat/>
    <w:rsid w:val="00A10FD9"/>
    <w:pPr>
      <w:numPr>
        <w:ilvl w:val="1"/>
      </w:numPr>
    </w:pPr>
    <w:rPr>
      <w:spacing w:val="15"/>
      <w:sz w:val="28"/>
      <w:szCs w:val="28"/>
    </w:rPr>
  </w:style>
  <w:style w:type="character" w:customStyle="1" w:styleId="ae">
    <w:name w:val="Подзаголовок Знак"/>
    <w:basedOn w:val="a1"/>
    <w:link w:val="ad"/>
    <w:uiPriority w:val="11"/>
    <w:rsid w:val="00A10FD9"/>
    <w:rPr>
      <w:rFonts w:eastAsiaTheme="majorEastAsia" w:cstheme="majorBidi"/>
      <w:color w:val="595959" w:themeColor="text1" w:themeTint="A6"/>
      <w:spacing w:val="15"/>
      <w:sz w:val="28"/>
      <w:szCs w:val="28"/>
    </w:rPr>
  </w:style>
  <w:style w:type="paragraph" w:styleId="11">
    <w:name w:val="toc 1"/>
    <w:basedOn w:val="a"/>
    <w:next w:val="a"/>
    <w:autoRedefine/>
    <w:uiPriority w:val="39"/>
    <w:rsid w:val="009529FE"/>
    <w:pPr>
      <w:spacing w:after="100"/>
    </w:pPr>
  </w:style>
  <w:style w:type="paragraph" w:styleId="21">
    <w:name w:val="toc 2"/>
    <w:basedOn w:val="a"/>
    <w:next w:val="a"/>
    <w:autoRedefine/>
    <w:uiPriority w:val="39"/>
    <w:rsid w:val="009529FE"/>
    <w:pPr>
      <w:spacing w:after="100"/>
      <w:ind w:left="240"/>
    </w:pPr>
  </w:style>
  <w:style w:type="paragraph" w:styleId="31">
    <w:name w:val="toc 3"/>
    <w:basedOn w:val="a"/>
    <w:next w:val="a"/>
    <w:autoRedefine/>
    <w:uiPriority w:val="39"/>
    <w:rsid w:val="009529FE"/>
    <w:pPr>
      <w:spacing w:after="100"/>
      <w:ind w:left="480"/>
    </w:pPr>
  </w:style>
  <w:style w:type="paragraph" w:styleId="af">
    <w:name w:val="TOC Heading"/>
    <w:basedOn w:val="1"/>
    <w:next w:val="a0"/>
    <w:uiPriority w:val="39"/>
    <w:unhideWhenUsed/>
    <w:qFormat/>
    <w:pPr>
      <w:spacing w:before="240" w:line="259" w:lineRule="auto"/>
      <w:outlineLvl w:val="9"/>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a7"/>
    <w:pPr>
      <w:keepNext/>
    </w:pPr>
  </w:style>
  <w:style w:type="table" w:styleId="af0">
    <w:name w:val="Table Grid"/>
    <w:basedOn w:val="a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a4">
    <w:name w:val="Title"/>
    <w:basedOn w:val="a"/>
    <w:next w:val="a0"/>
    <w:link w:val="af1"/>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f1">
    <w:name w:val="Заголовок Знак"/>
    <w:basedOn w:val="a1"/>
    <w:link w:val="a4"/>
    <w:uiPriority w:val="10"/>
    <w:rsid w:val="00A10FD9"/>
    <w:rPr>
      <w:rFonts w:asciiTheme="majorHAnsi" w:eastAsiaTheme="majorEastAsia" w:hAnsiTheme="majorHAnsi" w:cstheme="majorBidi"/>
      <w:sz w:val="56"/>
      <w:szCs w:val="56"/>
    </w:rPr>
  </w:style>
  <w:style w:type="character" w:customStyle="1" w:styleId="VariableTok">
    <w:name w:val="VariableTok"/>
    <w:basedOn w:val="VerbatimChar"/>
    <w:rPr>
      <w:rFonts w:ascii="Consolas" w:hAnsi="Consolas"/>
      <w:color w:val="19177C"/>
      <w:sz w:val="22"/>
    </w:rPr>
  </w:style>
  <w:style w:type="character" w:customStyle="1" w:styleId="VerbatimChar">
    <w:name w:val="Verbatim Char"/>
    <w:basedOn w:val="a8"/>
    <w:link w:val="SourceCode"/>
    <w:rPr>
      <w:rFonts w:ascii="Consolas" w:hAnsi="Consolas"/>
      <w:sz w:val="22"/>
    </w:rPr>
  </w:style>
  <w:style w:type="character" w:customStyle="1" w:styleId="VerbatimStringTok">
    <w:name w:val="VerbatimStringTok"/>
    <w:basedOn w:val="VerbatimChar"/>
    <w:rPr>
      <w:rFonts w:ascii="Consolas" w:hAnsi="Consolas"/>
      <w:color w:val="4070A0"/>
      <w:sz w:val="22"/>
    </w:rPr>
  </w:style>
  <w:style w:type="character" w:customStyle="1" w:styleId="WarningTok">
    <w:name w:val="WarningTok"/>
    <w:basedOn w:val="VerbatimChar"/>
    <w:rPr>
      <w:rFonts w:ascii="Consolas" w:hAnsi="Consolas"/>
      <w:b/>
      <w:i/>
      <w:color w:val="60A0B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regeurope.eu/policy-learning-platform/news/new-oecd-report-on-university-industry-collaboration" TargetMode="External"/><Relationship Id="rId13" Type="http://schemas.openxmlformats.org/officeDocument/2006/relationships/hyperlink" Target="https://www.rea.ru/~file/76151/%D0%92%D1%8B%D0%BF%D1%83%D1%81%D0%BA+10.+%D0%92%D0%B7%D0%B0%D0%B8%D0%BC%D0%BE%D0%B4%D0%B5%D0%B9%D1%81%D1%82%D0%B2.+%D0%B2%D1%83%D0%B7%D0%BE%D0%B2.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rea.ru/~file/76151/%D0%92%D1%8B%D0%BF%D1%83%D1%81%D0%BA+10.+%D0%92%D0%B7%D0%B0%D0%B8%D0%BC%D0%BE%D0%B4%D0%B5%D0%B9%D1%81%D1%82%D0%B2.+%D0%B2%D1%83%D0%B7%D0%BE%D0%B2.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abar.asia/ru/partnerstvo-vuzov-i-industrii-v-kazahstan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rea.ru/~file/76151/%D0%92%D1%8B%D0%BF%D1%83%D1%81%D0%BA+10.+%D0%92%D0%B7%D0%B0%D0%B8%D0%BC%D0%BE%D0%B4%D0%B5%D0%B9%D1%81%D1%82%D0%B2.+%D0%B2%D1%83%D0%B7%D0%BE%D0%B2.pdf" TargetMode="External"/><Relationship Id="rId5" Type="http://schemas.openxmlformats.org/officeDocument/2006/relationships/webSettings" Target="webSettings.xml"/><Relationship Id="rId15" Type="http://schemas.openxmlformats.org/officeDocument/2006/relationships/hyperlink" Target="https://cabar.asia/ru/partnerstvo-vuzov-i-industrii-v-kazahstane" TargetMode="External"/><Relationship Id="rId10" Type="http://schemas.openxmlformats.org/officeDocument/2006/relationships/hyperlink" Target="https://www.interregeurope.eu/policy-learning-platform/news/new-oecd-report-on-university-industry-collaboration" TargetMode="External"/><Relationship Id="rId4" Type="http://schemas.openxmlformats.org/officeDocument/2006/relationships/settings" Target="settings.xml"/><Relationship Id="rId9" Type="http://schemas.openxmlformats.org/officeDocument/2006/relationships/hyperlink" Target="https://www.interregeurope.eu/policy-learning-platform/news/new-oecd-report-on-university-industry-collaboration" TargetMode="External"/><Relationship Id="rId14" Type="http://schemas.openxmlformats.org/officeDocument/2006/relationships/hyperlink" Target="https://cabar.asia/ru/partnerstvo-vuzov-i-industrii-v-kazahstane" TargetMode="External"/></Relationships>
</file>

<file path=word/theme/theme1.xml><?xml version="1.0" encoding="utf-8"?>
<a:theme xmlns:a="http://schemas.openxmlformats.org/drawingml/2006/main">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0955B-5AF1-4A67-A098-09A441B22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28</Pages>
  <Words>10341</Words>
  <Characters>58944</Characters>
  <Application>Microsoft Office Word</Application>
  <DocSecurity>0</DocSecurity>
  <Lines>491</Lines>
  <Paragraphs>138</Paragraphs>
  <ScaleCrop>false</ScaleCrop>
  <HeadingPairs>
    <vt:vector size="2" baseType="variant">
      <vt:variant>
        <vt:lpstr>Название</vt:lpstr>
      </vt:variant>
      <vt:variant>
        <vt:i4>1</vt:i4>
      </vt:variant>
    </vt:vector>
  </HeadingPairs>
  <TitlesOfParts>
    <vt:vector size="1" baseType="lpstr">
      <vt:lpstr>Рабочий черновик магистерской ВКР</vt:lpstr>
    </vt:vector>
  </TitlesOfParts>
  <Company/>
  <LinksUpToDate>false</LinksUpToDate>
  <CharactersWithSpaces>69147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Рабочий черновик магистерской ВКР</dc:title>
  <dc:creator/>
  <cp:keywords/>
  <cp:lastModifiedBy>Антон Фень</cp:lastModifiedBy>
  <cp:revision>6</cp:revision>
  <dcterms:created xsi:type="dcterms:W3CDTF">2026-04-04T22:15:00Z</dcterms:created>
  <dcterms:modified xsi:type="dcterms:W3CDTF">2026-05-29T15:50:00Z</dcterms:modified>
  <dc:language>ru-RU</dc:language>
</cp:coreProperties>
</file>