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КАР-004. Карточка оборудования — электрический котёл (пример)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Пример заполнения по шаблону ШБ-009 (типовые открытые данные)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КАР-004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Пример (не привязан к реальному объекту)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08_Карточки_оборудования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12.07.2026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открытые типовые данные — не является паспортом реальной единицы оборудования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карточка заполнена типовыми паспортными данными (общедоступные технические характеристики) в качестве примера структуры. Перед вводом в реальный реестр оборудования объекта ВСЕ поля раздела «Паспортные характеристики» и «Метаданные» ДОЛЖНЫ БЫТЬ ЗАМЕНЕНЫ фактическими данными конкретной установленной единицы оборудования.</w:t>
      </w:r>
    </w:p>
    <w:p>
      <w:pPr>
        <w:pStyle w:val="Heading1"/>
        <w:spacing w:after="120" w:before="200"/>
      </w:pPr>
      <w:r>
        <w:t xml:space="preserve">1. Метаданные единицы оборудования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Инвентарный номер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Тип оборудования</w:t>
            </w:r>
          </w:p>
        </w:tc>
        <w:tc>
          <w:tcPr>
            <w:tcW w:type="dxa" w:w="4500"/>
          </w:tcPr>
          <w:p>
            <w:r>
              <w:t xml:space="preserve">Электрический котёл (ТЭН-типа)</w:t>
            </w:r>
          </w:p>
        </w:tc>
      </w:tr>
      <w:tr>
        <w:tc>
          <w:tcPr>
            <w:tcW w:type="dxa" w:w="4500"/>
          </w:tcPr>
          <w:p>
            <w:r>
              <w:t xml:space="preserve">Модель / производитель</w:t>
            </w:r>
          </w:p>
        </w:tc>
        <w:tc>
          <w:tcPr>
            <w:tcW w:type="dxa" w:w="4500"/>
          </w:tcPr>
          <w:p>
            <w:r>
              <w:t xml:space="preserve">[ЗАПОЛНЯЕТСЯ ПО ФАКТИЧЕСКОМУ ПАСПОРТУ]</w:t>
            </w:r>
          </w:p>
        </w:tc>
      </w:tr>
      <w:tr>
        <w:tc>
          <w:tcPr>
            <w:tcW w:type="dxa" w:w="4500"/>
          </w:tcPr>
          <w:p>
            <w:r>
              <w:t xml:space="preserve">Место установки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Дата ввода в эксплуатацию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Ответственный за оборудование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Статус</w:t>
            </w:r>
          </w:p>
        </w:tc>
        <w:tc>
          <w:tcPr>
            <w:tcW w:type="dxa" w:w="4500"/>
          </w:tcPr>
          <w:p>
            <w:r>
              <w:t xml:space="preserve">Пример — не в эксплуатации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Паспортные характеристики (типовые, требуют замены)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Типовое значение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Единица измерения</w:t>
            </w:r>
          </w:p>
        </w:tc>
      </w:tr>
      <w:tr>
        <w:tc>
          <w:tcPr>
            <w:tcW w:type="dxa" w:w="3000"/>
          </w:tcPr>
          <w:p>
            <w:r>
              <w:t xml:space="preserve">Электрическая мощность (типовой диапазон для теплового пункта)</w:t>
            </w:r>
          </w:p>
        </w:tc>
        <w:tc>
          <w:tcPr>
            <w:tcW w:type="dxa" w:w="3000"/>
          </w:tcPr>
          <w:p>
            <w:r>
              <w:t xml:space="preserve">6–100 (уточняется по паспорту)</w:t>
            </w:r>
          </w:p>
        </w:tc>
        <w:tc>
          <w:tcPr>
            <w:tcW w:type="dxa" w:w="3000"/>
          </w:tcPr>
          <w:p>
            <w:r>
              <w:t xml:space="preserve">кВт</w:t>
            </w:r>
          </w:p>
        </w:tc>
      </w:tr>
      <w:tr>
        <w:tc>
          <w:tcPr>
            <w:tcW w:type="dxa" w:w="3000"/>
          </w:tcPr>
          <w:p>
            <w:r>
              <w:t xml:space="preserve">Количество ступеней ТЭН (распространённый вариант)</w:t>
            </w:r>
          </w:p>
        </w:tc>
        <w:tc>
          <w:tcPr>
            <w:tcW w:type="dxa" w:w="3000"/>
          </w:tcPr>
          <w:p>
            <w:r>
              <w:t xml:space="preserve">3–6</w:t>
            </w:r>
          </w:p>
        </w:tc>
        <w:tc>
          <w:tcPr>
            <w:tcW w:type="dxa" w:w="3000"/>
          </w:tcPr>
          <w:p>
            <w:r>
              <w:t xml:space="preserve">шт.</w:t>
            </w:r>
          </w:p>
        </w:tc>
      </w:tr>
      <w:tr>
        <w:tc>
          <w:tcPr>
            <w:tcW w:type="dxa" w:w="3000"/>
          </w:tcPr>
          <w:p>
            <w:r>
              <w:t xml:space="preserve">Класс напряжения питания (распространённый вариант)</w:t>
            </w:r>
          </w:p>
        </w:tc>
        <w:tc>
          <w:tcPr>
            <w:tcW w:type="dxa" w:w="3000"/>
          </w:tcPr>
          <w:p>
            <w:r>
              <w:t xml:space="preserve">380</w:t>
            </w:r>
          </w:p>
        </w:tc>
        <w:tc>
          <w:tcPr>
            <w:tcW w:type="dxa" w:w="3000"/>
          </w:tcPr>
          <w:p>
            <w:r>
              <w:t xml:space="preserve">В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Связанные документы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СТД-004 — Диагностика электрических котлов.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РГЛ-004 — Регламент обслуживания электрических котлов.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ЭНЦ-004 — Электронагрев и накипеобразование на ТЭН.</w:t>
      </w:r>
    </w:p>
    <w:p>
      <w:pPr>
        <w:pStyle w:val="Heading1"/>
        <w:spacing w:after="120" w:before="200"/>
      </w:pPr>
      <w:r>
        <w:t xml:space="preserve">4. Журнал диагностики и обслуживания</w:t>
      </w:r>
    </w:p>
    <w:p>
      <w:pPr>
        <w:spacing w:after="120"/>
        <w:jc w:val="both"/>
      </w:pPr>
      <w:r>
        <w:t xml:space="preserve">Пуст — заполняется по мере реальной эксплуатации конкретной единицы оборудования.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Событие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Замеренные параметры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Документ-основание</w:t>
            </w:r>
          </w:p>
        </w:tc>
      </w:tr>
      <w:tr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2026-07-13T13:20:34.787Z</dcterms:created>
  <dcterms:modified xsi:type="dcterms:W3CDTF">2026-07-13T13:20:34.803Z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