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КЕЙС-004. Рост времени нагрева электрического котла (иллюстративный пример)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КЕЙС-004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Пример (иллюстративный, не привязан к реальному объекту)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13_Кейсы_объектов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12.07.2026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иллюстративный пример на основе СТД/Каталога неисправностей/Типовых решений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это иллюстративный пример кейса (без привязки к реальному объекту), демонстрирующий полный цикл «признак → диагностика по СТД → неисправность по каталогу → типовое решение». Реальный кейс должен содержать фактические данные конкретного объекта, даты, показания приборов и Ф.И.О./должность исполнителя.</w:t>
      </w:r>
    </w:p>
    <w:p>
      <w:pPr>
        <w:pStyle w:val="Heading1"/>
        <w:spacing w:after="120" w:before="200"/>
      </w:pPr>
      <w:r>
        <w:t xml:space="preserve">1. Исходная ситуация</w:t>
      </w:r>
    </w:p>
    <w:p>
      <w:pPr>
        <w:spacing w:after="120"/>
        <w:jc w:val="both"/>
      </w:pPr>
      <w:r>
        <w:t xml:space="preserve">[ОБЪЕКТ]: [ЗАПОЛНЯЕТСЯ ПРИ РЕАЛЬНОМ КЕЙСЕ]. Электрический котёл (ТЭН-типа) в составе теплового пункта эксплуатируется в штатном режиме. Очистка ТЭН от накипи (РГЛ-004) в последний раз выполнялась 10 месяцев назад.</w:t>
      </w:r>
    </w:p>
    <w:p>
      <w:pPr>
        <w:pStyle w:val="Heading1"/>
        <w:spacing w:after="120" w:before="200"/>
      </w:pPr>
      <w:r>
        <w:t xml:space="preserve">2. Проявление неисправности</w:t>
      </w:r>
    </w:p>
    <w:p>
      <w:pPr>
        <w:spacing w:after="120"/>
        <w:jc w:val="both"/>
      </w:pPr>
      <w:r>
        <w:t xml:space="preserve">Оператор заметил, что время выхода котла на заданную температуру постепенно выросло примерно на 40% за последний месяц, при этом ток по всем ТЭНам оставался в пределах номинала — по этому параметру отклонений не было.</w:t>
      </w:r>
    </w:p>
    <w:p>
      <w:pPr>
        <w:pStyle w:val="Heading1"/>
        <w:spacing w:after="120" w:before="200"/>
      </w:pPr>
      <w:r>
        <w:t xml:space="preserve">3. Диагностика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Замерено фактическое время нагрева контрольного объёма воды — превышение паспортного времени более чем на 15% (СТД-004, раздел 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Ток по фазам/ТЭНам проверен отдельно — все значения в пределах нормы, что исключило версию с неисправностью самих нагревательных элементов или контактов.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Признак сопоставлен с каталогом неисправностей: НСП-008 «Накипеобразование на ТЭН» (10_Каталог_неисправностей) — рост времени нагрева при нормальном токе указан как типичный признак этой неисправности.</w:t>
      </w:r>
    </w:p>
    <w:p>
      <w:pPr>
        <w:pStyle w:val="Heading1"/>
        <w:spacing w:after="120" w:before="200"/>
      </w:pPr>
      <w:r>
        <w:t xml:space="preserve">4. Решение и результат</w:t>
      </w:r>
    </w:p>
    <w:p>
      <w:pPr>
        <w:spacing w:after="120"/>
        <w:jc w:val="both"/>
      </w:pPr>
      <w:r>
        <w:t xml:space="preserve">Выполнена внеплановая очистка ТЭН от накипи по типовому решению РЕШ-008 (12_Типовые_решения), с демонтажем нагревательных элементов и последующей проверкой сопротивления изоляции перед повторной установкой. После сборки время нагрева вернулось к паспортному значению.</w:t>
      </w:r>
    </w:p>
    <w:p>
      <w:pPr>
        <w:pStyle w:val="Heading1"/>
        <w:spacing w:after="120" w:before="200"/>
      </w:pPr>
      <w:r>
        <w:t xml:space="preserve">5. Извлечённые уроки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Именно время нагрева, а не ток, оказалось информативным индикатором в этом случае — рост тока проявился бы позже, только при более серьёзном перегреве спирали под слоем накипи.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очистке ТЭН имеет смысл сразу же проверять сопротивление изоляции (СТД-004, раздел 2) — это позволяет одновременно закрыть и профилактику электробезопасности, не выполняя отдельную операцию позже.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2026-07-13T13:21:14.567Z</dcterms:created>
  <dcterms:modified xsi:type="dcterms:W3CDTF">2026-07-13T13:21:14.567Z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