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КЕЙС-005. Плохое разгорание топлива в твердотопливном котле (иллюстративный пример)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КЕЙС-005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Пример (иллюстративный, не привязан к реальному объекту)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13_Кейсы_объектов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12.07.2026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иллюстративный пример на основе СТД/Каталога неисправностей/Типовых решений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это иллюстративный пример кейса (без привязки к реальному объекту), демонстрирующий полный цикл «признак → диагностика по СТД → неисправность по каталогу → типовое решение». Реальный кейс должен содержать фактические данные конкретного объекта, даты, показания приборов и Ф.И.О./должность исполнителя.</w:t>
      </w:r>
    </w:p>
    <w:p>
      <w:pPr>
        <w:pStyle w:val="Heading1"/>
        <w:spacing w:after="120" w:before="200"/>
      </w:pPr>
      <w:r>
        <w:t xml:space="preserve">1. Исходная ситуация</w:t>
      </w:r>
    </w:p>
    <w:p>
      <w:pPr>
        <w:spacing w:after="120"/>
        <w:jc w:val="both"/>
      </w:pPr>
      <w:r>
        <w:t xml:space="preserve">[ОБЪЕКТ]: [ЗАПОЛНЯЕТСЯ ПРИ РЕАЛЬНОМ КЕЙСЕ]. Твердотопливный котёл (уголь) в составе котельной эксплуатируется в штатном режиме. Очистка колосниковой решётки в последний раз выполнялась 5 смен назад.</w:t>
      </w:r>
    </w:p>
    <w:p>
      <w:pPr>
        <w:pStyle w:val="Heading1"/>
        <w:spacing w:after="120" w:before="200"/>
      </w:pPr>
      <w:r>
        <w:t xml:space="preserve">2. Проявление неисправности</w:t>
      </w:r>
    </w:p>
    <w:p>
      <w:pPr>
        <w:spacing w:after="120"/>
        <w:jc w:val="both"/>
      </w:pPr>
      <w:r>
        <w:t xml:space="preserve">Оператор заметил ухудшение разгорания топлива после очередной загрузки — топливо тлело вместо устойчивого горения, а показания тягомера снизились относительно типового значения при неизменном положении шибера.</w:t>
      </w:r>
    </w:p>
    <w:p>
      <w:pPr>
        <w:pStyle w:val="Heading1"/>
        <w:spacing w:after="120" w:before="200"/>
      </w:pPr>
      <w:r>
        <w:t xml:space="preserve">3. Диагностика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Сняты показания тяги — ниже типового расчётного значения (СТД-005, раздел 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Выполнен визуальный осмотр колосниковой решётки — обнаружен плотный слой шлака, препятствующий свободному проходу воздуха снизу.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Признак сопоставлен с каталогом неисправностей: НСП-010 «Зашлаковывание колосниковой решётки» (10_Каталог_неисправностей) — снижение тяги в сочетании с плохим разгоранием топлива указано как типичное сочетание признаков этой неисправности.</w:t>
      </w:r>
    </w:p>
    <w:p>
      <w:pPr>
        <w:pStyle w:val="Heading1"/>
        <w:spacing w:after="120" w:before="200"/>
      </w:pPr>
      <w:r>
        <w:t xml:space="preserve">4. Решение и результат</w:t>
      </w:r>
    </w:p>
    <w:p>
      <w:pPr>
        <w:spacing w:after="120"/>
        <w:jc w:val="both"/>
      </w:pPr>
      <w:r>
        <w:t xml:space="preserve">Выполнена внеплановая очистка колосниковой решётки от шлака по типовому решению РЕШ-010 (12_Типовые_решения), вне обычного графика. После очистки тяга и качество горения восстановились до типовых значений.</w:t>
      </w:r>
    </w:p>
    <w:p>
      <w:pPr>
        <w:pStyle w:val="Heading1"/>
        <w:spacing w:after="120" w:before="200"/>
      </w:pPr>
      <w:r>
        <w:t xml:space="preserve">5. Извлечённые уроки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Периодичность очистки колосниковой решётки существенно зависит от качества и зольности конкретной партии угля — фиксированный график РГЛ-005 («ежесменно или по мере зашлакованности») на практике потребовал более частого контроля для этой партии топлива.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Снижение тяги — более ранний и надёжный индикатор зашлакованности, чем визуальное качество горения, которое операторы иногда склонны объяснять просто «сырым топливом».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2026-07-13T13:21:14.674Z</dcterms:created>
  <dcterms:modified xsi:type="dcterms:W3CDTF">2026-07-13T13:21:14.674Z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