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FAQ-ИНФ-006. Неравномерный нагрев в разных частях здания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FAQ-ИНФ-006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0.1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На редакции — требует проверки перед публикацией на сайте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клиентского раздела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13.07.2026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(ChatGPT) — черновик клиентского FAQ, требует проверки ответственным лицом перед публикацией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Вопрос</w:t>
      </w:r>
    </w:p>
    <w:p>
      <w:pPr>
        <w:spacing w:after="120"/>
        <w:jc w:val="both"/>
      </w:pPr>
      <w:r>
        <w:t xml:space="preserve">В одной части здания жарко, а в другой — прохладно, хотя это один тепловой пункт. В чём может быть причина?</w:t>
      </w:r>
    </w:p>
    <w:p>
      <w:pPr>
        <w:pStyle w:val="Heading1"/>
        <w:spacing w:after="120" w:before="200"/>
      </w:pPr>
      <w:r>
        <w:t xml:space="preserve">Краткий ответ</w:t>
      </w:r>
    </w:p>
    <w:p>
      <w:pPr>
        <w:spacing w:after="120"/>
        <w:jc w:val="both"/>
      </w:pPr>
      <w:r>
        <w:t xml:space="preserve">Это часто связано с гидравлической разбалансировкой системы отопления — распределение теплоносителя между разными участками здания неравномерно из-за различий в сопротивлении веток трубопровода, состояния балансировочных клапанов или естественного износа системы со временем. Балансировка системы — отдельная работа по настройке распределения, которую может провести специалист после диагностики.</w:t>
      </w:r>
    </w:p>
    <w:p>
      <w:pPr>
        <w:pStyle w:val="Heading1"/>
        <w:spacing w:after="120" w:before="200"/>
      </w:pPr>
      <w:r>
        <w:t xml:space="preserve">Что делать</w:t>
      </w:r>
    </w:p>
    <w:p>
      <w:pPr>
        <w:spacing w:after="120"/>
        <w:jc w:val="both"/>
      </w:pPr>
      <w:r>
        <w:t xml:space="preserve">Сообщите нам о конкретных помещениях/участках с отклонением температуры — это поможет точнее определить, где нарушена балансировка. [УТОЧНИТЬ: контакты для заявки].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2026-07-14T05:05:31.471Z</dcterms:created>
  <dcterms:modified xsi:type="dcterms:W3CDTF">2026-07-14T05:05:31.471Z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