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FAQ-УК-002. Ответственность при аварии — УК или обслуживающая организация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Кто несёт ответственность, если произошла авария в тепловом пункте — управляющая компания или обслуживающая организация?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Разграничение ответственности фиксируется в договоре на обслуживание: как правило, обслуживающая организация отвечает за состояние и работоспособность оборудования в рамках согласованного регламента, а управляющая компания — за организацию процесса в целом и взаимодействие с жителями. Конкретные границы ответственности всегда закрепляются письменно в договоре.</w:t>
      </w:r>
    </w:p>
    <w:p>
      <w:pPr>
        <w:pStyle w:val="Heading1"/>
        <w:spacing w:after="120" w:before="200"/>
      </w:pPr>
      <w:r>
        <w:t xml:space="preserve">Рекомендация</w:t>
      </w:r>
    </w:p>
    <w:p>
      <w:pPr>
        <w:spacing w:after="120"/>
        <w:jc w:val="both"/>
      </w:pPr>
      <w:r>
        <w:t xml:space="preserve">При заключении договора рекомендуем чётко прописать зоны ответственности по каждому узлу оборудования — мы готовы согласовать это индивидуально.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2026-07-14T05:05:31.116Z</dcterms:created>
  <dcterms:modified xsi:type="dcterms:W3CDTF">2026-07-14T05:05:31.116Z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