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FAQ-УК-005. Время реакции на аварийную заявку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FAQ-УК-005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Какое время реакции на аварийную заявку прописывается в договоре?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Время реакции (SLA) устанавливается индивидуально в договоре и зависит от выбранного тарифа и удалённости объекта — например, может быть отдельное время для выезда специалиста и отдельное для устранения неисправности. [УТОЧНИТЬ: типовые значения SLA для разных тарифов].</w:t>
      </w:r>
    </w:p>
    <w:p>
      <w:pPr>
        <w:pStyle w:val="Heading1"/>
        <w:spacing w:after="120" w:before="200"/>
      </w:pPr>
      <w:r>
        <w:t xml:space="preserve">Важно</w:t>
      </w:r>
    </w:p>
    <w:p>
      <w:pPr>
        <w:spacing w:after="120"/>
        <w:jc w:val="both"/>
      </w:pPr>
      <w:r>
        <w:t xml:space="preserve">Круглосуточное аварийное обслуживание с гарантированным временем реакции доступно как отдельная опция договора.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2026-07-14T05:05:31.146Z</dcterms:created>
  <dcterms:modified xsi:type="dcterms:W3CDTF">2026-07-14T05:05:31.146Z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