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СТД-002. Диагностика водогрейных котлов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Стандарт диагностики (сформирован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СТД-002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01_Стандарты_СТД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 + Claude (сборка), промпты ПРМ-001, ПРМ-002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документ составлен по открытым данным (общепринятая инженерная практика эксплуатации, типовые диапазоны параметров) без привязки к конкретному оборудованию объекта — сформирован промптом ПРМ-001 (Режим Б, ChatGPT) и структурирован промптом ПРМ-002 (Claude). Все числовые значения — типовые, ТРЕБУЮТ ПРОВЕРКИ И ПРИВЯЗКИ К ФАКТИЧЕСКОМУ ПАСПОРТУ ОБОРУДОВАНИЯ ОБЪЕКТА ответственным за раздел перед использованием в реальной эксплуатации (см. КП-002, КП-003).</w:t>
      </w: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Стандарт применяется при диагностике водогрейных котлов в составе котельных установок тепловых пунктов, работающих на газообразном или жидком топливе.</w:t>
      </w:r>
    </w:p>
    <w:p>
      <w:pPr>
        <w:pStyle w:val="Heading1"/>
        <w:spacing w:after="120" w:before="200"/>
      </w:pPr>
      <w:r>
        <w:t xml:space="preserve">2. Контролируемые параметры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Норма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Источник нормы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Метод измерения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</w:tr>
      <w:tr>
        <w:tc>
          <w:tcPr>
            <w:tcW w:type="dxa" w:w="1800"/>
          </w:tcPr>
          <w:p>
            <w:r>
              <w:t xml:space="preserve">Температура воды на выходе из котла</w:t>
            </w:r>
          </w:p>
        </w:tc>
        <w:tc>
          <w:tcPr>
            <w:tcW w:type="dxa" w:w="1800"/>
          </w:tcPr>
          <w:p>
            <w:r>
              <w:t xml:space="preserve">70–95 °C</w:t>
            </w:r>
          </w:p>
        </w:tc>
        <w:tc>
          <w:tcPr>
            <w:tcW w:type="dxa" w:w="1800"/>
          </w:tcPr>
          <w:p>
            <w:r>
              <w:t xml:space="preserve">типовой диапазон эксплуатации водогрейных котлов (отраслевая практика)</w:t>
            </w:r>
          </w:p>
        </w:tc>
        <w:tc>
          <w:tcPr>
            <w:tcW w:type="dxa" w:w="1800"/>
          </w:tcPr>
          <w:p>
            <w:r>
              <w:t xml:space="preserve">датчик температуры на выходном патрубке</w:t>
            </w:r>
          </w:p>
        </w:tc>
        <w:tc>
          <w:tcPr>
            <w:tcW w:type="dxa" w:w="1800"/>
          </w:tcPr>
          <w:p>
            <w:r>
              <w:t xml:space="preserve">непрерывно</w:t>
            </w:r>
          </w:p>
        </w:tc>
      </w:tr>
      <w:tr>
        <w:tc>
          <w:tcPr>
            <w:tcW w:type="dxa" w:w="1800"/>
          </w:tcPr>
          <w:p>
            <w:r>
              <w:t xml:space="preserve">Давление воды в котловом контуре</w:t>
            </w:r>
          </w:p>
        </w:tc>
        <w:tc>
          <w:tcPr>
            <w:tcW w:type="dxa" w:w="1800"/>
          </w:tcPr>
          <w:p>
            <w:r>
              <w:t xml:space="preserve">0,2–0,6 МПа (уточняется по паспорту)</w:t>
            </w:r>
          </w:p>
        </w:tc>
        <w:tc>
          <w:tcPr>
            <w:tcW w:type="dxa" w:w="1800"/>
          </w:tcPr>
          <w:p>
            <w:r>
              <w:t xml:space="preserve">типовой диапазон, отраслевая практика</w:t>
            </w:r>
          </w:p>
        </w:tc>
        <w:tc>
          <w:tcPr>
            <w:tcW w:type="dxa" w:w="1800"/>
          </w:tcPr>
          <w:p>
            <w:r>
              <w:t xml:space="preserve">манометр</w:t>
            </w:r>
          </w:p>
        </w:tc>
        <w:tc>
          <w:tcPr>
            <w:tcW w:type="dxa" w:w="1800"/>
          </w:tcPr>
          <w:p>
            <w:r>
              <w:t xml:space="preserve">непрерывно</w:t>
            </w:r>
          </w:p>
        </w:tc>
      </w:tr>
      <w:tr>
        <w:tc>
          <w:tcPr>
            <w:tcW w:type="dxa" w:w="1800"/>
          </w:tcPr>
          <w:p>
            <w:r>
              <w:t xml:space="preserve">Температура уходящих газов</w:t>
            </w:r>
          </w:p>
        </w:tc>
        <w:tc>
          <w:tcPr>
            <w:tcW w:type="dxa" w:w="1800"/>
          </w:tcPr>
          <w:p>
            <w:r>
              <w:t xml:space="preserve">не выше 250 °C</w:t>
            </w:r>
          </w:p>
        </w:tc>
        <w:tc>
          <w:tcPr>
            <w:tcW w:type="dxa" w:w="1800"/>
          </w:tcPr>
          <w:p>
            <w:r>
              <w:t xml:space="preserve">типовое значение для контроля эффективности сжигания, отраслевая практика</w:t>
            </w:r>
          </w:p>
        </w:tc>
        <w:tc>
          <w:tcPr>
            <w:tcW w:type="dxa" w:w="1800"/>
          </w:tcPr>
          <w:p>
            <w:r>
              <w:t xml:space="preserve">термометр в дымоходе</w:t>
            </w:r>
          </w:p>
        </w:tc>
        <w:tc>
          <w:tcPr>
            <w:tcW w:type="dxa" w:w="1800"/>
          </w:tcPr>
          <w:p>
            <w:r>
              <w:t xml:space="preserve">ежесменно</w:t>
            </w:r>
          </w:p>
        </w:tc>
      </w:tr>
      <w:tr>
        <w:tc>
          <w:tcPr>
            <w:tcW w:type="dxa" w:w="1800"/>
          </w:tcPr>
          <w:p>
            <w:r>
              <w:t xml:space="preserve">КПД котла (расчётный)</w:t>
            </w:r>
          </w:p>
        </w:tc>
        <w:tc>
          <w:tcPr>
            <w:tcW w:type="dxa" w:w="1800"/>
          </w:tcPr>
          <w:p>
            <w:r>
              <w:t xml:space="preserve">не ниже 90% от паспортного</w:t>
            </w:r>
          </w:p>
        </w:tc>
        <w:tc>
          <w:tcPr>
            <w:tcW w:type="dxa" w:w="1800"/>
          </w:tcPr>
          <w:p>
            <w:r>
              <w:t xml:space="preserve">типовое требование, отраслевая практика</w:t>
            </w:r>
          </w:p>
        </w:tc>
        <w:tc>
          <w:tcPr>
            <w:tcW w:type="dxa" w:w="1800"/>
          </w:tcPr>
          <w:p>
            <w:r>
              <w:t xml:space="preserve">расчёт по теплотехническим измерениям</w:t>
            </w:r>
          </w:p>
        </w:tc>
        <w:tc>
          <w:tcPr>
            <w:tcW w:type="dxa" w:w="1800"/>
          </w:tcPr>
          <w:p>
            <w:r>
              <w:t xml:space="preserve">ежемесячно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Признаки отклонений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Рост температуры уходящих газов при неизменном режиме горения — признак накипи или загрязнения поверхностей нагрева (см. 10_Каталог_неисправностей, класс «Загрязнение»).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Снижение температуры воды на выходе при неизменном расходе топлива — признак снижения эффективности горения или потерь тепла.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Резкие колебания давления в котловом контуре — признак неисправности циркуляционного насоса (см. СТД-003) или запорной арматуры.</w:t>
      </w:r>
    </w:p>
    <w:p>
      <w:pPr>
        <w:pStyle w:val="Heading1"/>
        <w:spacing w:after="120" w:before="200"/>
      </w:pPr>
      <w:r>
        <w:t xml:space="preserve">4. Порядок диагностики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Снять текущие показания температуры воды на выходе, давления в контуре и температуры уходящих газов.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Рассчитать текущий КПД котла и сравнить с паспортным значением.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отклонении контролируемых параметров от нормы — выполнить внешний осмотр топки и поверхностей нагрева, при возможности — инструментальный контроль состава уходящих газов.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Зафиксировать результат диагностики в карточке оборудования (08_Карточки_оборудования).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подтверждении неисправности — оформить кейс объекта (13_Кейсы_объектов) по шаблону ШБ-006.</w:t>
      </w:r>
    </w:p>
    <w:p>
      <w:pPr>
        <w:pStyle w:val="Heading1"/>
        <w:spacing w:after="120" w:before="200"/>
      </w:pPr>
      <w:r>
        <w:t xml:space="preserve">5.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11_Физика_процессов — теория горения и теплопередачи в водогрейных котлах.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классификатор неисправностей котельного оборудования.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12_Типовые_решения — типовые решения по восстановлению эффективности горения и очистке поверхностей нагрева.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СТД-003 — диагностика циркуляционных насосов (смежный узел системы).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2026-07-09T03:02:49.863Z</dcterms:created>
  <dcterms:modified xsi:type="dcterms:W3CDTF">2026-07-09T03:02:49.878Z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