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КЕЙС-003. Постепенный рост температуры уходящих газов водогрейного котла (иллюстративный пример)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КЕЙС-003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Пример (иллюстративный, не привязан к реальному объекту)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13_Кейсы_объектов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11.07.2026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иллюстративный пример на основе СТД-002/Каталога неисправностей/Типовых решений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это иллюстративный пример кейса (без привязки к реальному объекту), демонстрирующий полный цикл «признак → диагностика по СТД → неисправность по каталогу → типовое решение». Реальный кейс должен содержать фактические данные конкретного объекта, даты, показания приборов и Ф.И.О./должность исполнителя.</w:t>
      </w:r>
    </w:p>
    <w:p>
      <w:pPr>
        <w:pStyle w:val="Heading1"/>
        <w:spacing w:after="120" w:before="200"/>
      </w:pPr>
      <w:r>
        <w:t xml:space="preserve">1. Исходная ситуация</w:t>
      </w:r>
    </w:p>
    <w:p>
      <w:pPr>
        <w:spacing w:after="120"/>
        <w:jc w:val="both"/>
      </w:pPr>
      <w:r>
        <w:t xml:space="preserve">[ОБЪЕКТ]: [ЗАПОЛНЯЕТСЯ ПРИ РЕАЛЬНОМ КЕЙСЕ]. Водогрейный котёл в составе котельной эксплуатируется в штатном режиме. Плановая очистка поверхностей нагрева (РГЛ-002) в последний раз выполнялась 9 месяцев назад.</w:t>
      </w:r>
    </w:p>
    <w:p>
      <w:pPr>
        <w:pStyle w:val="Heading1"/>
        <w:spacing w:after="120" w:before="200"/>
      </w:pPr>
      <w:r>
        <w:t xml:space="preserve">2. Проявление неисправности</w:t>
      </w:r>
    </w:p>
    <w:p>
      <w:pPr>
        <w:spacing w:after="120"/>
        <w:jc w:val="both"/>
      </w:pPr>
      <w:r>
        <w:t xml:space="preserve">При ежемесячном расчёте КПД (СТД-002) оператор зафиксировал постепенное снижение расчётного КПД котла с 92% до 87% за последние два месяца. Параллельно наблюдался плавный рост температуры уходящих газов при неизменном режиме горения. Расход топлива при этом не менялся.</w:t>
      </w:r>
    </w:p>
    <w:p>
      <w:pPr>
        <w:pStyle w:val="Heading1"/>
        <w:spacing w:after="120" w:before="200"/>
      </w:pPr>
      <w:r>
        <w:t xml:space="preserve">3. Диагностика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Сняты текущие показания температуры уходящих газов — превышение типового порогового значения (СТД-002, раздел 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Рассчитан текущий КПД котла — ниже нормы (не менее 90% от паспортного, СТД-002, раздел 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Признак сопоставлен с каталогом неисправностей: НСП-002 «Загрязнение поверхностей нагрева» (10_Каталог_неисправностей) — рост температуры уходящих газов при неизменном режиме горения указан как типичный признак этой неисправности.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Дополнительно проверена неполнота сгорания (НСП-003) — по показаниям газоанализатора отклонений в составе уходящих газов не выявлено, что позволило исключить эту причину и сосредоточиться на загрязнении поверхностей нагрева.</w:t>
      </w:r>
    </w:p>
    <w:p>
      <w:pPr>
        <w:pStyle w:val="Heading1"/>
        <w:spacing w:after="120" w:before="200"/>
      </w:pPr>
      <w:r>
        <w:t xml:space="preserve">4. Решение и результат</w:t>
      </w:r>
    </w:p>
    <w:p>
      <w:pPr>
        <w:spacing w:after="120"/>
        <w:jc w:val="both"/>
      </w:pPr>
      <w:r>
        <w:t xml:space="preserve">Выполнена внеплановая очистка поверхностей нагрева котла со стороны газового тракта по типовому решению РЕШ-002 (12_Типовые_решения), вне графика планового обслуживания РГЛ-002. После очистки и запуска котла температура уходящих газов вернулась к типовому уровню, расчётный КПД восстановился до 91%.</w:t>
      </w:r>
    </w:p>
    <w:p>
      <w:pPr>
        <w:pStyle w:val="Heading1"/>
        <w:spacing w:after="120" w:before="200"/>
      </w:pPr>
      <w:r>
        <w:t xml:space="preserve">5. Извлечённые уроки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Ежемесячный расчёт КПД (СТД-002) оказался эффективным способом обнаружить постепенную деградацию эффективности раньше, чем это стало бы заметно по существенному перерасходу топлива.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Сочетание двух признаков (снижение КПД + рост температуры уходящих газов при стабильном составе газов) позволило быстро сузить диагноз до одной конкретной неисправности (НСП-002), не тратя время на проверку неполноты сгорания как основной версии.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Плановая периодичность очистки (6–12 месяцев по РГЛ-002) для данного качества топлива и воды объекта может потребовать сокращения — рекомендуется рассмотреть после накопления нескольких подобных случаев (аналогично выводу из КЕЙС-001 для теплообменников).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2026-07-12T14:03:09.861Z</dcterms:created>
  <dcterms:modified xsi:type="dcterms:W3CDTF">2026-07-12T14:03:09.893Z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