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Release 1.1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Первое содержательное наполнение базы знаний после Release 1.0 FOUNDATION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релиза</w:t>
            </w:r>
          </w:p>
        </w:tc>
        <w:tc>
          <w:tcPr>
            <w:tcW w:type="dxa" w:w="6000"/>
          </w:tcPr>
          <w:p>
            <w:r>
              <w:t xml:space="preserve">1.1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релиза</w:t>
            </w:r>
          </w:p>
        </w:tc>
        <w:tc>
          <w:tcPr>
            <w:tcW w:type="dxa" w:w="6000"/>
          </w:tcPr>
          <w:p>
            <w:r>
              <w:t xml:space="preserve">11.07.2026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Утверждён</w:t>
            </w:r>
          </w:p>
        </w:tc>
        <w:tc>
          <w:tcPr>
            <w:tcW w:type="dxa" w:w="6000"/>
          </w:tcPr>
          <w:p>
            <w:r>
              <w:t xml:space="preserve">Владелец Проекта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Всего документов в реестре</w:t>
            </w:r>
          </w:p>
        </w:tc>
        <w:tc>
          <w:tcPr>
            <w:tcW w:type="dxa" w:w="6000"/>
          </w:tcPr>
          <w:p>
            <w:r>
              <w:t xml:space="preserve">64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Из них «Утверждено»</w:t>
            </w:r>
          </w:p>
        </w:tc>
        <w:tc>
          <w:tcPr>
            <w:tcW w:type="dxa" w:w="6000"/>
          </w:tcPr>
          <w:p>
            <w:r>
              <w:t xml:space="preserve">59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Из них «Пример»</w:t>
            </w:r>
          </w:p>
        </w:tc>
        <w:tc>
          <w:tcPr>
            <w:tcW w:type="dxa" w:w="6000"/>
          </w:tcPr>
          <w:p>
            <w:r>
              <w:t xml:space="preserve">5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О релизе</w:t>
      </w:r>
    </w:p>
    <w:p>
      <w:pPr>
        <w:spacing w:after="120"/>
        <w:jc w:val="both"/>
      </w:pPr>
      <w:r>
        <w:t xml:space="preserve">Release 1.1 фиксирует состояние базы знаний после серии из 18 рабочих итераций, выполненных вслед за Release 1.0 FOUNDATION. В FOUNDATION была заложена только управленческая структура и один стандарт диагностики; этот релиз впервые наполняет проект содержанием по полному циклу — от диагностики до типовых решений — и добавляет два формальных самоаудита, устранивших накопленные несоответствия.</w:t>
      </w:r>
    </w:p>
    <w:p>
      <w:pPr>
        <w:pStyle w:val="Heading1"/>
        <w:spacing w:after="120" w:before="200"/>
      </w:pPr>
      <w:r>
        <w:t xml:space="preserve">2. Основной состав добавленного содержания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Что добавлено</w:t>
            </w:r>
          </w:p>
        </w:tc>
      </w:tr>
      <w:tr>
        <w:tc>
          <w:tcPr>
            <w:tcW w:type="dxa" w:w="4500"/>
          </w:tcPr>
          <w:p>
            <w:r>
              <w:t xml:space="preserve">01_Стандарты_СТД</w:t>
            </w:r>
          </w:p>
        </w:tc>
        <w:tc>
          <w:tcPr>
            <w:tcW w:type="dxa" w:w="4500"/>
          </w:tcPr>
          <w:p>
            <w:r>
              <w:t xml:space="preserve">СТД-002, СТД-003 (v1.2); СТД-001 доведён до v1.2</w:t>
            </w:r>
          </w:p>
        </w:tc>
      </w:tr>
      <w:tr>
        <w:tc>
          <w:tcPr>
            <w:tcW w:type="dxa" w:w="4500"/>
          </w:tcPr>
          <w:p>
            <w:r>
              <w:t xml:space="preserve">02_Регламенты_РГЛ</w:t>
            </w:r>
          </w:p>
        </w:tc>
        <w:tc>
          <w:tcPr>
            <w:tcW w:type="dxa" w:w="4500"/>
          </w:tcPr>
          <w:p>
            <w:r>
              <w:t xml:space="preserve">РГЛ-001 (v1.1)</w:t>
            </w:r>
          </w:p>
        </w:tc>
      </w:tr>
      <w:tr>
        <w:tc>
          <w:tcPr>
            <w:tcW w:type="dxa" w:w="4500"/>
          </w:tcPr>
          <w:p>
            <w:r>
              <w:t xml:space="preserve">03_Инструкции_ИНС</w:t>
            </w:r>
          </w:p>
        </w:tc>
        <w:tc>
          <w:tcPr>
            <w:tcW w:type="dxa" w:w="4500"/>
          </w:tcPr>
          <w:p>
            <w:r>
              <w:t xml:space="preserve">ИНС-001 (v1.0, Утверждено) — Типичные ошибки на основе 6 реальных отраслевых случаев</w:t>
            </w:r>
          </w:p>
        </w:tc>
      </w:tr>
      <w:tr>
        <w:tc>
          <w:tcPr>
            <w:tcW w:type="dxa" w:w="4500"/>
          </w:tcPr>
          <w:p>
            <w:r>
              <w:t xml:space="preserve">04_Энциклопедия</w:t>
            </w:r>
          </w:p>
        </w:tc>
        <w:tc>
          <w:tcPr>
            <w:tcW w:type="dxa" w:w="4500"/>
          </w:tcPr>
          <w:p>
            <w:r>
              <w:t xml:space="preserve">ЭНЦ-001, ЭНЦ-002, ЭНЦ-003 — со сквозными ссылками из СТД</w:t>
            </w:r>
          </w:p>
        </w:tc>
      </w:tr>
      <w:tr>
        <w:tc>
          <w:tcPr>
            <w:tcW w:type="dxa" w:w="4500"/>
          </w:tcPr>
          <w:p>
            <w:r>
              <w:t xml:space="preserve">05_FAQ</w:t>
            </w:r>
          </w:p>
        </w:tc>
        <w:tc>
          <w:tcPr>
            <w:tcW w:type="dxa" w:w="4500"/>
          </w:tcPr>
          <w:p>
            <w:r>
              <w:t xml:space="preserve">6 FAQ, сформированных строго на основе утверждённых документов</w:t>
            </w:r>
          </w:p>
        </w:tc>
      </w:tr>
      <w:tr>
        <w:tc>
          <w:tcPr>
            <w:tcW w:type="dxa" w:w="4500"/>
          </w:tcPr>
          <w:p>
            <w:r>
              <w:t xml:space="preserve">06_RAG</w:t>
            </w:r>
          </w:p>
        </w:tc>
        <w:tc>
          <w:tcPr>
            <w:tcW w:type="dxa" w:w="4500"/>
          </w:tcPr>
          <w:p>
            <w:r>
              <w:t xml:space="preserve">10 RAG-карточек, нарезанных из СТД/РГЛ/ЭНЦ/ИНС</w:t>
            </w:r>
          </w:p>
        </w:tc>
      </w:tr>
      <w:tr>
        <w:tc>
          <w:tcPr>
            <w:tcW w:type="dxa" w:w="4500"/>
          </w:tcPr>
          <w:p>
            <w:r>
              <w:t xml:space="preserve">07_Промпты</w:t>
            </w:r>
          </w:p>
        </w:tc>
        <w:tc>
          <w:tcPr>
            <w:tcW w:type="dxa" w:w="4500"/>
          </w:tcPr>
          <w:p>
            <w:r>
              <w:t xml:space="preserve">13 рабочих промптов для 6 ИИ-агентов, включая Режим Б (автономный подбор по открытым данным)</w:t>
            </w:r>
          </w:p>
        </w:tc>
      </w:tr>
      <w:tr>
        <w:tc>
          <w:tcPr>
            <w:tcW w:type="dxa" w:w="4500"/>
          </w:tcPr>
          <w:p>
            <w:r>
              <w:t xml:space="preserve">08_Карточки_оборудования</w:t>
            </w:r>
          </w:p>
        </w:tc>
        <w:tc>
          <w:tcPr>
            <w:tcW w:type="dxa" w:w="4500"/>
          </w:tcPr>
          <w:p>
            <w:r>
              <w:t xml:space="preserve">Шаблон ШБ-009 + 3 примера заполнения</w:t>
            </w:r>
          </w:p>
        </w:tc>
      </w:tr>
      <w:tr>
        <w:tc>
          <w:tcPr>
            <w:tcW w:type="dxa" w:w="4500"/>
          </w:tcPr>
          <w:p>
            <w:r>
              <w:t xml:space="preserve">09_Технический_словарь</w:t>
            </w:r>
          </w:p>
        </w:tc>
        <w:tc>
          <w:tcPr>
            <w:tcW w:type="dxa" w:w="4500"/>
          </w:tcPr>
          <w:p>
            <w:r>
              <w:t xml:space="preserve">29 терминов, включая 15 сверенных с ФЗ №190-ФЗ, ГОСТ 22270-2018, СП 124.13330.2012</w:t>
            </w:r>
          </w:p>
        </w:tc>
      </w:tr>
      <w:tr>
        <w:tc>
          <w:tcPr>
            <w:tcW w:type="dxa" w:w="4500"/>
          </w:tcPr>
          <w:p>
            <w:r>
              <w:t xml:space="preserve">10_Каталог_неисправностей</w:t>
            </w:r>
          </w:p>
        </w:tc>
        <w:tc>
          <w:tcPr>
            <w:tcW w:type="dxa" w:w="4500"/>
          </w:tcPr>
          <w:p>
            <w:r>
              <w:t xml:space="preserve">7 неисправностей, закрывающих ссылки из СТД/ЭНЦ/RAG</w:t>
            </w:r>
          </w:p>
        </w:tc>
      </w:tr>
      <w:tr>
        <w:tc>
          <w:tcPr>
            <w:tcW w:type="dxa" w:w="4500"/>
          </w:tcPr>
          <w:p>
            <w:r>
              <w:t xml:space="preserve">12_Типовые_решения</w:t>
            </w:r>
          </w:p>
        </w:tc>
        <w:tc>
          <w:tcPr>
            <w:tcW w:type="dxa" w:w="4500"/>
          </w:tcPr>
          <w:p>
            <w:r>
              <w:t xml:space="preserve">7 решений, 1:1 с каталогом неисправностей</w:t>
            </w:r>
          </w:p>
        </w:tc>
      </w:tr>
      <w:tr>
        <w:tc>
          <w:tcPr>
            <w:tcW w:type="dxa" w:w="4500"/>
          </w:tcPr>
          <w:p>
            <w:r>
              <w:t xml:space="preserve">13_Кейсы_объектов</w:t>
            </w:r>
          </w:p>
        </w:tc>
        <w:tc>
          <w:tcPr>
            <w:tcW w:type="dxa" w:w="4500"/>
          </w:tcPr>
          <w:p>
            <w:r>
              <w:t xml:space="preserve">2 иллюстративных примера полного цикла диагностика → неисправность → решение</w:t>
            </w:r>
          </w:p>
        </w:tc>
      </w:tr>
      <w:tr>
        <w:tc>
          <w:tcPr>
            <w:tcW w:type="dxa" w:w="4500"/>
          </w:tcPr>
          <w:p>
            <w:r>
              <w:t xml:space="preserve">16_Нормативные_документы</w:t>
            </w:r>
          </w:p>
        </w:tc>
        <w:tc>
          <w:tcPr>
            <w:tcW w:type="dxa" w:w="4500"/>
          </w:tcPr>
          <w:p>
            <w:r>
              <w:t xml:space="preserve">НД-001 — индекс 3 внешних нормативных документов</w:t>
            </w:r>
          </w:p>
        </w:tc>
      </w:tr>
      <w:tr>
        <w:tc>
          <w:tcPr>
            <w:tcW w:type="dxa" w:w="4500"/>
          </w:tcPr>
          <w:p>
            <w:r>
              <w:t xml:space="preserve">27_Аналитика</w:t>
            </w:r>
          </w:p>
        </w:tc>
        <w:tc>
          <w:tcPr>
            <w:tcW w:type="dxa" w:w="4500"/>
          </w:tcPr>
          <w:p>
            <w:r>
              <w:t xml:space="preserve">АУДИТ-001 — первый формальный сквозной аудит проекта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Самоаудиты и устранённые несоответствия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Дублирующая ссылка СТД↔11_Физика_процессов/04_Энциклопедия — устранена (СТД-001/002/003 → v1.2).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Битые ссылки источника в RAG-карточках после повышения версии документа-источника — обнаружены и исправлены дважды (после v1.2 СТД и после финализации ИНС-001).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Нарушение КП-005: 9 замен версий документов удалялись вместо архивирования — восстановлены из истории git, размещены в 25_Архив с журналом.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Дублирующая запись АУДИТ-001 в Реестре документов — обнаружена и устранена при подготовке этого релиза.</w:t>
      </w:r>
    </w:p>
    <w:p>
      <w:pPr>
        <w:pStyle w:val="Heading1"/>
        <w:spacing w:after="120" w:before="200"/>
      </w:pPr>
      <w:r>
        <w:t xml:space="preserve">4. Ключевые решения владельца проекта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ИНС-001 утверждён (v1.0) на основании реальных документированных отраслевых случаев из открытых источников, признанных достаточным основанием для раздела «Типичные ошибки» — по прямому решению, несмотря на то, что это не опыт эксплуатации именно данного объекта.</w:t>
      </w:r>
    </w:p>
    <w:p>
      <w:pPr>
        <w:pStyle w:val="Heading1"/>
        <w:spacing w:after="120" w:before="200"/>
      </w:pPr>
      <w:r>
        <w:t xml:space="preserve">5. Текущее состояние по статусам</w:t>
      </w:r>
    </w:p>
    <w:p>
      <w:pPr>
        <w:spacing w:after="120"/>
        <w:jc w:val="both"/>
      </w:pPr>
      <w:r>
        <w:t xml:space="preserve">Из 64 записей в Реестре документов: 59 в статусе «Утверждено», 5 в статусе «Пример» (карточки оборудования КАР-001/002/003 и кейсы КЕЙС-001/002 — намеренно не привязаны к реальному объекту, служат образцом структуры).</w:t>
      </w:r>
    </w:p>
    <w:p>
      <w:pPr>
        <w:pStyle w:val="Heading1"/>
        <w:spacing w:after="120" w:before="200"/>
      </w:pPr>
      <w:r>
        <w:t xml:space="preserve">6. Что не входит в релиз</w:t>
      </w:r>
    </w:p>
    <w:p>
      <w:pPr>
        <w:spacing w:after="120"/>
        <w:jc w:val="both"/>
      </w:pPr>
      <w:r>
        <w:t xml:space="preserve">Разделы 14_Фотоархив, 15_Видеоархив (медиаматериалы), 19_Черновики / 21_Утверждено (рабочие папки жизненного цикла, пустые по дизайну — см. КП-006), 22-24 (экспорт), 28_Лаборатория — остаются пустыми или зарезервированными.</w:t>
      </w:r>
    </w:p>
    <w:p>
      <w:pPr>
        <w:pStyle w:val="Heading1"/>
        <w:spacing w:after="120" w:before="200"/>
      </w:pPr>
      <w:r>
        <w:t xml:space="preserve">7. Следующие шаги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Наполнение 02_Регламенты_РГЛ, 03_Инструкции_ИНС дополнительными документами по другим типам оборудования.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Замена примерных карточек оборудования (КАР-001/002/003) на данные реальных единиц оборудования объекта.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Периодический повторный аудит (промпт ПРМ-011) по мере роста базы знаний.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2026-07-11T10:44:41.044Z</dcterms:created>
  <dcterms:modified xsi:type="dcterms:W3CDTF">2026-07-11T10:44:41.054Z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