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КП-003. Регламент работы ИИ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Правила использования ИИ-агентов в Проекте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документа</w:t>
            </w:r>
          </w:p>
        </w:tc>
        <w:tc>
          <w:tcPr>
            <w:tcW w:type="dxa" w:w="6000"/>
          </w:tcPr>
          <w:p>
            <w:r>
              <w:t xml:space="preserve">КП-003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6000"/>
          </w:tcPr>
          <w:p>
            <w:r>
              <w:t xml:space="preserve">Knowledge Factory «Теплоконтур»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ввода в действие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Назначение</w:t>
      </w:r>
    </w:p>
    <w:p>
      <w:pPr>
        <w:spacing w:after="120"/>
        <w:jc w:val="both"/>
      </w:pPr>
      <w:r>
        <w:t xml:space="preserve">Документ регулирует применение ИИ-агентов (ChatGPT, DeepSeek, Claude, Gemini, Qwen, Grok — раздел 18_ИИ_Агенты) для генерации, обработки и проверки контента Проекта.</w:t>
      </w:r>
    </w:p>
    <w:p>
      <w:pPr>
        <w:pStyle w:val="Heading1"/>
        <w:spacing w:after="120" w:before="200"/>
      </w:pPr>
      <w:r>
        <w:t xml:space="preserve">2. Допустимые сценарии использования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Формирование черновиков документов по утверждённым промптам (07_Промпты).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Приведение текста к формату шаблона.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Формирование RAG-карточек (06_RAG) и их первичная проверка на непротиворечивость.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Поиск противоречий между документами и подсветка потенциальных ошибок.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Перевод и нормализация терминологии (09_Технический_словарь).</w:t>
      </w:r>
    </w:p>
    <w:p>
      <w:pPr>
        <w:pStyle w:val="Heading1"/>
        <w:spacing w:after="120" w:before="200"/>
      </w:pPr>
      <w:r>
        <w:t xml:space="preserve">3. Ограничения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ИИ-агент не может самостоятельно перевести документ в статус «Утверждено».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Любые количественные параметры (уставки, допуски, режимы работы оборудования) обязательно проверяются человеком-экспертом перед утверждением.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Запрещено использование ИИ-агентов вне закреплённых промптов для генерации нормативно значимых заключений без последующей рецензии.</w:t>
      </w:r>
    </w:p>
    <w:p>
      <w:pPr>
        <w:pStyle w:val="Heading1"/>
        <w:spacing w:after="120" w:before="200"/>
      </w:pPr>
      <w:r>
        <w:t xml:space="preserve">4. Маркировка ИИ-контента</w:t>
      </w:r>
    </w:p>
    <w:p>
      <w:pPr>
        <w:spacing w:after="120"/>
        <w:jc w:val="both"/>
      </w:pPr>
      <w:r>
        <w:t xml:space="preserve">Каждый документ, черновик которого был полностью или частично сгенерирован ИИ-агентом, должен содержать в метаданных поле «Источник: ИИ (название агента)» и ссылку на использованный промпт из 07_Промпты.</w:t>
      </w:r>
    </w:p>
    <w:p>
      <w:pPr>
        <w:pStyle w:val="Heading1"/>
        <w:spacing w:after="120" w:before="200"/>
      </w:pPr>
      <w:r>
        <w:t xml:space="preserve">5. Хранение промптов</w:t>
      </w:r>
    </w:p>
    <w:p>
      <w:pPr>
        <w:spacing w:after="120"/>
        <w:jc w:val="both"/>
      </w:pPr>
      <w:r>
        <w:t xml:space="preserve">Промпты хранятся в 07_Промпты, версионируются согласно КП-004 и группируются по типу документа, для которого предназначены (СТД, РГЛ, ИНС, ЭНЦ, FAQ, RAG). Шаблон-заглушка для RAG-карточек — ШБ-008_RAG.json (17_Шаблоны).</w:t>
      </w:r>
    </w:p>
    <w:p>
      <w:pPr>
        <w:pStyle w:val="Heading1"/>
        <w:spacing w:after="120" w:before="200"/>
      </w:pPr>
      <w:r>
        <w:t xml:space="preserve">6. Ответственность оператора ИИ-агентов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Проверять фактическую точность сгенерированного текста.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Не переносить в документы информацию, не подтверждённую источником или экспертом.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Фиксировать использованный агент и версию промпта в Реестре версий.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2026-07-08T12:14:52.236Z</dcterms:created>
  <dcterms:modified xsi:type="dcterms:W3CDTF">2026-07-08T12:14:52.236Z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