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КП-006. Структура проекта</w:t>
      </w:r>
    </w:p>
    <w:p>
      <w:pPr>
        <w:spacing w:after="300"/>
      </w:pPr>
      <w:r>
        <w:rPr>
          <w:i/>
          <w:iCs/>
          <w:sz w:val="26"/>
          <w:szCs w:val="26"/>
        </w:rPr>
        <w:t xml:space="preserve">Описание разделов файловой структуры Knowledge Factory «Теплоконтур»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 документа</w:t>
            </w:r>
          </w:p>
        </w:tc>
        <w:tc>
          <w:tcPr>
            <w:tcW w:type="dxa" w:w="6000"/>
          </w:tcPr>
          <w:p>
            <w:r>
              <w:t xml:space="preserve">КП-006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000"/>
          </w:tcPr>
          <w:p>
            <w:r>
              <w:t xml:space="preserve">1.0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000"/>
          </w:tcPr>
          <w:p>
            <w:r>
              <w:t xml:space="preserve">Утверждено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Проект</w:t>
            </w:r>
          </w:p>
        </w:tc>
        <w:tc>
          <w:tcPr>
            <w:tcW w:type="dxa" w:w="6000"/>
          </w:tcPr>
          <w:p>
            <w:r>
              <w:t xml:space="preserve">Knowledge Factory «Теплоконтур»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Дата ввода в действие</w:t>
            </w:r>
          </w:p>
        </w:tc>
        <w:tc>
          <w:tcPr>
            <w:tcW w:type="dxa" w:w="6000"/>
          </w:tcPr>
          <w:p>
            <w:r>
              <w:t xml:space="preserve">08.07.2026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1. Назначение</w:t>
      </w:r>
    </w:p>
    <w:p>
      <w:pPr>
        <w:spacing w:after="120"/>
        <w:jc w:val="both"/>
      </w:pPr>
      <w:r>
        <w:t xml:space="preserve">Документ фиксирует назначение каждого раздела верхнего уровня структуры Проекта и служит справочником при выборе места для нового материала.</w:t>
      </w:r>
    </w:p>
    <w:p>
      <w:pPr>
        <w:pStyle w:val="Heading1"/>
        <w:spacing w:after="120" w:before="200"/>
      </w:pPr>
      <w:r>
        <w:t xml:space="preserve">2. Разделы верхнего уровня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DE6F0" w:val="clear"/>
          </w:tcPr>
          <w:p>
            <w:r>
              <w:rPr>
                <w:b/>
                <w:bCs/>
              </w:rPr>
              <w:t xml:space="preserve">Раздел</w:t>
            </w:r>
          </w:p>
        </w:tc>
        <w:tc>
          <w:tcPr>
            <w:tcW w:type="dxa" w:w="4500"/>
            <w:shd w:fill="DDE6F0" w:val="clear"/>
          </w:tcPr>
          <w:p>
            <w:r>
              <w:rPr>
                <w:b/>
                <w:bCs/>
              </w:rPr>
              <w:t xml:space="preserve">Назначение</w:t>
            </w:r>
          </w:p>
        </w:tc>
      </w:tr>
      <w:tr>
        <w:tc>
          <w:tcPr>
            <w:tcW w:type="dxa" w:w="4500"/>
          </w:tcPr>
          <w:p>
            <w:r>
              <w:t xml:space="preserve">00_Проект</w:t>
            </w:r>
          </w:p>
        </w:tc>
        <w:tc>
          <w:tcPr>
            <w:tcW w:type="dxa" w:w="4500"/>
          </w:tcPr>
          <w:p>
            <w:r>
              <w:t xml:space="preserve">Управление, реестры, версионирование, спринт-отчёты, экспорт</w:t>
            </w:r>
          </w:p>
        </w:tc>
      </w:tr>
      <w:tr>
        <w:tc>
          <w:tcPr>
            <w:tcW w:type="dxa" w:w="4500"/>
          </w:tcPr>
          <w:p>
            <w:r>
              <w:t xml:space="preserve">01_Стандарты_СТД</w:t>
            </w:r>
          </w:p>
        </w:tc>
        <w:tc>
          <w:tcPr>
            <w:tcW w:type="dxa" w:w="4500"/>
          </w:tcPr>
          <w:p>
            <w:r>
              <w:t xml:space="preserve">Стандарты диагностики оборудования</w:t>
            </w:r>
          </w:p>
        </w:tc>
      </w:tr>
      <w:tr>
        <w:tc>
          <w:tcPr>
            <w:tcW w:type="dxa" w:w="4500"/>
          </w:tcPr>
          <w:p>
            <w:r>
              <w:t xml:space="preserve">02_Регламенты_РГЛ</w:t>
            </w:r>
          </w:p>
        </w:tc>
        <w:tc>
          <w:tcPr>
            <w:tcW w:type="dxa" w:w="4500"/>
          </w:tcPr>
          <w:p>
            <w:r>
              <w:t xml:space="preserve">Регламенты обслуживания</w:t>
            </w:r>
          </w:p>
        </w:tc>
      </w:tr>
      <w:tr>
        <w:tc>
          <w:tcPr>
            <w:tcW w:type="dxa" w:w="4500"/>
          </w:tcPr>
          <w:p>
            <w:r>
              <w:t xml:space="preserve">03_Инструкции_ИНС</w:t>
            </w:r>
          </w:p>
        </w:tc>
        <w:tc>
          <w:tcPr>
            <w:tcW w:type="dxa" w:w="4500"/>
          </w:tcPr>
          <w:p>
            <w:r>
              <w:t xml:space="preserve">Пошаговые инструкции для персонала</w:t>
            </w:r>
          </w:p>
        </w:tc>
      </w:tr>
      <w:tr>
        <w:tc>
          <w:tcPr>
            <w:tcW w:type="dxa" w:w="4500"/>
          </w:tcPr>
          <w:p>
            <w:r>
              <w:t xml:space="preserve">04_Энциклопедия</w:t>
            </w:r>
          </w:p>
        </w:tc>
        <w:tc>
          <w:tcPr>
            <w:tcW w:type="dxa" w:w="4500"/>
          </w:tcPr>
          <w:p>
            <w:r>
              <w:t xml:space="preserve">Теоретические материалы (серия ЭНЦ)</w:t>
            </w:r>
          </w:p>
        </w:tc>
      </w:tr>
      <w:tr>
        <w:tc>
          <w:tcPr>
            <w:tcW w:type="dxa" w:w="4500"/>
          </w:tcPr>
          <w:p>
            <w:r>
              <w:t xml:space="preserve">05_FAQ</w:t>
            </w:r>
          </w:p>
        </w:tc>
        <w:tc>
          <w:tcPr>
            <w:tcW w:type="dxa" w:w="4500"/>
          </w:tcPr>
          <w:p>
            <w:r>
              <w:t xml:space="preserve">Часто задаваемые вопросы</w:t>
            </w:r>
          </w:p>
        </w:tc>
      </w:tr>
      <w:tr>
        <w:tc>
          <w:tcPr>
            <w:tcW w:type="dxa" w:w="4500"/>
          </w:tcPr>
          <w:p>
            <w:r>
              <w:t xml:space="preserve">06_RAG</w:t>
            </w:r>
          </w:p>
        </w:tc>
        <w:tc>
          <w:tcPr>
            <w:tcW w:type="dxa" w:w="4500"/>
          </w:tcPr>
          <w:p>
            <w:r>
              <w:t xml:space="preserve">RAG-карточки для ИИ-поиска</w:t>
            </w:r>
          </w:p>
        </w:tc>
      </w:tr>
      <w:tr>
        <w:tc>
          <w:tcPr>
            <w:tcW w:type="dxa" w:w="4500"/>
          </w:tcPr>
          <w:p>
            <w:r>
              <w:t xml:space="preserve">07_Промпты</w:t>
            </w:r>
          </w:p>
        </w:tc>
        <w:tc>
          <w:tcPr>
            <w:tcW w:type="dxa" w:w="4500"/>
          </w:tcPr>
          <w:p>
            <w:r>
              <w:t xml:space="preserve">Промпты для ИИ-агентов</w:t>
            </w:r>
          </w:p>
        </w:tc>
      </w:tr>
      <w:tr>
        <w:tc>
          <w:tcPr>
            <w:tcW w:type="dxa" w:w="4500"/>
          </w:tcPr>
          <w:p>
            <w:r>
              <w:t xml:space="preserve">08_Карточки_оборудования</w:t>
            </w:r>
          </w:p>
        </w:tc>
        <w:tc>
          <w:tcPr>
            <w:tcW w:type="dxa" w:w="4500"/>
          </w:tcPr>
          <w:p>
            <w:r>
              <w:t xml:space="preserve">Паспортные и эксплуатационные карточки оборудования</w:t>
            </w:r>
          </w:p>
        </w:tc>
      </w:tr>
      <w:tr>
        <w:tc>
          <w:tcPr>
            <w:tcW w:type="dxa" w:w="4500"/>
          </w:tcPr>
          <w:p>
            <w:r>
              <w:t xml:space="preserve">09_Технический_словарь</w:t>
            </w:r>
          </w:p>
        </w:tc>
        <w:tc>
          <w:tcPr>
            <w:tcW w:type="dxa" w:w="4500"/>
          </w:tcPr>
          <w:p>
            <w:r>
              <w:t xml:space="preserve">Единая терминология Проекта</w:t>
            </w:r>
          </w:p>
        </w:tc>
      </w:tr>
      <w:tr>
        <w:tc>
          <w:tcPr>
            <w:tcW w:type="dxa" w:w="4500"/>
          </w:tcPr>
          <w:p>
            <w:r>
              <w:t xml:space="preserve">10_Каталог_неисправностей</w:t>
            </w:r>
          </w:p>
        </w:tc>
        <w:tc>
          <w:tcPr>
            <w:tcW w:type="dxa" w:w="4500"/>
          </w:tcPr>
          <w:p>
            <w:r>
              <w:t xml:space="preserve">Классификатор неисправностей и их признаков</w:t>
            </w:r>
          </w:p>
        </w:tc>
      </w:tr>
      <w:tr>
        <w:tc>
          <w:tcPr>
            <w:tcW w:type="dxa" w:w="4500"/>
          </w:tcPr>
          <w:p>
            <w:r>
              <w:t xml:space="preserve">11_Физика_процессов</w:t>
            </w:r>
          </w:p>
        </w:tc>
        <w:tc>
          <w:tcPr>
            <w:tcW w:type="dxa" w:w="4500"/>
          </w:tcPr>
          <w:p>
            <w:r>
              <w:t xml:space="preserve">Физические принципы, лежащие в основе диагностики</w:t>
            </w:r>
          </w:p>
        </w:tc>
      </w:tr>
      <w:tr>
        <w:tc>
          <w:tcPr>
            <w:tcW w:type="dxa" w:w="4500"/>
          </w:tcPr>
          <w:p>
            <w:r>
              <w:t xml:space="preserve">12_Типовые_решения</w:t>
            </w:r>
          </w:p>
        </w:tc>
        <w:tc>
          <w:tcPr>
            <w:tcW w:type="dxa" w:w="4500"/>
          </w:tcPr>
          <w:p>
            <w:r>
              <w:t xml:space="preserve">Готовые решения для типовых проблем</w:t>
            </w:r>
          </w:p>
        </w:tc>
      </w:tr>
      <w:tr>
        <w:tc>
          <w:tcPr>
            <w:tcW w:type="dxa" w:w="4500"/>
          </w:tcPr>
          <w:p>
            <w:r>
              <w:t xml:space="preserve">13_Кейсы_объектов</w:t>
            </w:r>
          </w:p>
        </w:tc>
        <w:tc>
          <w:tcPr>
            <w:tcW w:type="dxa" w:w="4500"/>
          </w:tcPr>
          <w:p>
            <w:r>
              <w:t xml:space="preserve">Практические кейсы с конкретных объектов</w:t>
            </w:r>
          </w:p>
        </w:tc>
      </w:tr>
      <w:tr>
        <w:tc>
          <w:tcPr>
            <w:tcW w:type="dxa" w:w="4500"/>
          </w:tcPr>
          <w:p>
            <w:r>
              <w:t xml:space="preserve">14_Фотоархив</w:t>
            </w:r>
          </w:p>
        </w:tc>
        <w:tc>
          <w:tcPr>
            <w:tcW w:type="dxa" w:w="4500"/>
          </w:tcPr>
          <w:p>
            <w:r>
              <w:t xml:space="preserve">Фотоматериалы</w:t>
            </w:r>
          </w:p>
        </w:tc>
      </w:tr>
      <w:tr>
        <w:tc>
          <w:tcPr>
            <w:tcW w:type="dxa" w:w="4500"/>
          </w:tcPr>
          <w:p>
            <w:r>
              <w:t xml:space="preserve">15_Видеоархив</w:t>
            </w:r>
          </w:p>
        </w:tc>
        <w:tc>
          <w:tcPr>
            <w:tcW w:type="dxa" w:w="4500"/>
          </w:tcPr>
          <w:p>
            <w:r>
              <w:t xml:space="preserve">Видеоматериалы</w:t>
            </w:r>
          </w:p>
        </w:tc>
      </w:tr>
      <w:tr>
        <w:tc>
          <w:tcPr>
            <w:tcW w:type="dxa" w:w="4500"/>
          </w:tcPr>
          <w:p>
            <w:r>
              <w:t xml:space="preserve">16_Нормативные_документы</w:t>
            </w:r>
          </w:p>
        </w:tc>
        <w:tc>
          <w:tcPr>
            <w:tcW w:type="dxa" w:w="4500"/>
          </w:tcPr>
          <w:p>
            <w:r>
              <w:t xml:space="preserve">Внешние нормативные документы и стандарты</w:t>
            </w:r>
          </w:p>
        </w:tc>
      </w:tr>
      <w:tr>
        <w:tc>
          <w:tcPr>
            <w:tcW w:type="dxa" w:w="4500"/>
          </w:tcPr>
          <w:p>
            <w:r>
              <w:t xml:space="preserve">17_Шаблоны</w:t>
            </w:r>
          </w:p>
        </w:tc>
        <w:tc>
          <w:tcPr>
            <w:tcW w:type="dxa" w:w="4500"/>
          </w:tcPr>
          <w:p>
            <w:r>
              <w:t xml:space="preserve">Шаблоны для создания новых документов</w:t>
            </w:r>
          </w:p>
        </w:tc>
      </w:tr>
      <w:tr>
        <w:tc>
          <w:tcPr>
            <w:tcW w:type="dxa" w:w="4500"/>
          </w:tcPr>
          <w:p>
            <w:r>
              <w:t xml:space="preserve">18_ИИ_Агенты</w:t>
            </w:r>
          </w:p>
        </w:tc>
        <w:tc>
          <w:tcPr>
            <w:tcW w:type="dxa" w:w="4500"/>
          </w:tcPr>
          <w:p>
            <w:r>
              <w:t xml:space="preserve">Материалы по используемым ИИ-агентам</w:t>
            </w:r>
          </w:p>
        </w:tc>
      </w:tr>
      <w:tr>
        <w:tc>
          <w:tcPr>
            <w:tcW w:type="dxa" w:w="4500"/>
          </w:tcPr>
          <w:p>
            <w:r>
              <w:t xml:space="preserve">19_Черновики</w:t>
            </w:r>
          </w:p>
        </w:tc>
        <w:tc>
          <w:tcPr>
            <w:tcW w:type="dxa" w:w="4500"/>
          </w:tcPr>
          <w:p>
            <w:r>
              <w:t xml:space="preserve">Документы в статусе «Черновик»</w:t>
            </w:r>
          </w:p>
        </w:tc>
      </w:tr>
      <w:tr>
        <w:tc>
          <w:tcPr>
            <w:tcW w:type="dxa" w:w="4500"/>
          </w:tcPr>
          <w:p>
            <w:r>
              <w:t xml:space="preserve">20_На_редакции</w:t>
            </w:r>
          </w:p>
        </w:tc>
        <w:tc>
          <w:tcPr>
            <w:tcW w:type="dxa" w:w="4500"/>
          </w:tcPr>
          <w:p>
            <w:r>
              <w:t xml:space="preserve">Документы на этапе рецензирования</w:t>
            </w:r>
          </w:p>
        </w:tc>
      </w:tr>
      <w:tr>
        <w:tc>
          <w:tcPr>
            <w:tcW w:type="dxa" w:w="4500"/>
          </w:tcPr>
          <w:p>
            <w:r>
              <w:t xml:space="preserve">21_Утверждено</w:t>
            </w:r>
          </w:p>
        </w:tc>
        <w:tc>
          <w:tcPr>
            <w:tcW w:type="dxa" w:w="4500"/>
          </w:tcPr>
          <w:p>
            <w:r>
              <w:t xml:space="preserve">Документы, прошедшие утверждение</w:t>
            </w:r>
          </w:p>
        </w:tc>
      </w:tr>
      <w:tr>
        <w:tc>
          <w:tcPr>
            <w:tcW w:type="dxa" w:w="4500"/>
          </w:tcPr>
          <w:p>
            <w:r>
              <w:t xml:space="preserve">22_Word</w:t>
            </w:r>
          </w:p>
        </w:tc>
        <w:tc>
          <w:tcPr>
            <w:tcW w:type="dxa" w:w="4500"/>
          </w:tcPr>
          <w:p>
            <w:r>
              <w:t xml:space="preserve">Экспорт материалов в формате Word</w:t>
            </w:r>
          </w:p>
        </w:tc>
      </w:tr>
      <w:tr>
        <w:tc>
          <w:tcPr>
            <w:tcW w:type="dxa" w:w="4500"/>
          </w:tcPr>
          <w:p>
            <w:r>
              <w:t xml:space="preserve">23_Markdown</w:t>
            </w:r>
          </w:p>
        </w:tc>
        <w:tc>
          <w:tcPr>
            <w:tcW w:type="dxa" w:w="4500"/>
          </w:tcPr>
          <w:p>
            <w:r>
              <w:t xml:space="preserve">Экспорт материалов в формате Markdown</w:t>
            </w:r>
          </w:p>
        </w:tc>
      </w:tr>
      <w:tr>
        <w:tc>
          <w:tcPr>
            <w:tcW w:type="dxa" w:w="4500"/>
          </w:tcPr>
          <w:p>
            <w:r>
              <w:t xml:space="preserve">24_PDF</w:t>
            </w:r>
          </w:p>
        </w:tc>
        <w:tc>
          <w:tcPr>
            <w:tcW w:type="dxa" w:w="4500"/>
          </w:tcPr>
          <w:p>
            <w:r>
              <w:t xml:space="preserve">Экспорт материалов в формате PDF</w:t>
            </w:r>
          </w:p>
        </w:tc>
      </w:tr>
      <w:tr>
        <w:tc>
          <w:tcPr>
            <w:tcW w:type="dxa" w:w="4500"/>
          </w:tcPr>
          <w:p>
            <w:r>
              <w:t xml:space="preserve">25_Архив</w:t>
            </w:r>
          </w:p>
        </w:tc>
        <w:tc>
          <w:tcPr>
            <w:tcW w:type="dxa" w:w="4500"/>
          </w:tcPr>
          <w:p>
            <w:r>
              <w:t xml:space="preserve">Устаревшие / замененные версии документов</w:t>
            </w:r>
          </w:p>
        </w:tc>
      </w:tr>
      <w:tr>
        <w:tc>
          <w:tcPr>
            <w:tcW w:type="dxa" w:w="4500"/>
          </w:tcPr>
          <w:p>
            <w:r>
              <w:t xml:space="preserve">26_Релизы</w:t>
            </w:r>
          </w:p>
        </w:tc>
        <w:tc>
          <w:tcPr>
            <w:tcW w:type="dxa" w:w="4500"/>
          </w:tcPr>
          <w:p>
            <w:r>
              <w:t xml:space="preserve">Зафиксированные релизы базы знаний</w:t>
            </w:r>
          </w:p>
        </w:tc>
      </w:tr>
      <w:tr>
        <w:tc>
          <w:tcPr>
            <w:tcW w:type="dxa" w:w="4500"/>
          </w:tcPr>
          <w:p>
            <w:r>
              <w:t xml:space="preserve">27_Аналитика</w:t>
            </w:r>
          </w:p>
        </w:tc>
        <w:tc>
          <w:tcPr>
            <w:tcW w:type="dxa" w:w="4500"/>
          </w:tcPr>
          <w:p>
            <w:r>
              <w:t xml:space="preserve">Аналитические отчёты по использованию и качеству базы знаний</w:t>
            </w:r>
          </w:p>
        </w:tc>
      </w:tr>
      <w:tr>
        <w:tc>
          <w:tcPr>
            <w:tcW w:type="dxa" w:w="4500"/>
          </w:tcPr>
          <w:p>
            <w:r>
              <w:t xml:space="preserve">28_Лаборатория</w:t>
            </w:r>
          </w:p>
        </w:tc>
        <w:tc>
          <w:tcPr>
            <w:tcW w:type="dxa" w:w="4500"/>
          </w:tcPr>
          <w:p>
            <w:r>
              <w:t xml:space="preserve">Экспериментальные материалы, не готовые к публикации</w:t>
            </w:r>
          </w:p>
        </w:tc>
      </w:tr>
    </w:tbl>
    <w:p>
      <w:pPr>
        <w:spacing w:after="120"/>
      </w:pPr>
    </w:p>
    <w:p>
      <w:pPr>
        <w:pStyle w:val="Heading1"/>
        <w:spacing w:after="120" w:before="200"/>
      </w:pPr>
      <w:r>
        <w:t xml:space="preserve">3. Правило выбора раздела</w:t>
      </w:r>
    </w:p>
    <w:p>
      <w:pPr>
        <w:spacing w:after="120"/>
        <w:jc w:val="both"/>
      </w:pPr>
      <w:r>
        <w:t xml:space="preserve">Материал размещается в разделе, соответствующем его конечному типу (например, готовый стандарт — в 01_Стандарты_СТД), а не в разделе жизненного цикла (19–21), который отражает только текущий статус редактирования согласно КП-007.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2026-07-08T12:14:52.392Z</dcterms:created>
  <dcterms:modified xsi:type="dcterms:W3CDTF">2026-07-08T12:14:52.392Z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