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ШБ-004. Шаблон энциклопедической статьи (ЭНЦ)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документа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Код</w:t>
            </w:r>
          </w:p>
        </w:tc>
        <w:tc>
          <w:tcPr>
            <w:tcW w:type="dxa" w:w="4500"/>
          </w:tcPr>
          <w:p>
            <w:r>
              <w:t xml:space="preserve">ЭНЦ-XXX</w:t>
            </w:r>
          </w:p>
        </w:tc>
      </w:tr>
      <w:tr>
        <w:tc>
          <w:tcPr>
            <w:tcW w:type="dxa" w:w="4500"/>
          </w:tcPr>
          <w:p>
            <w:r>
              <w:t xml:space="preserve">Версия</w:t>
            </w:r>
          </w:p>
        </w:tc>
        <w:tc>
          <w:tcPr>
            <w:tcW w:type="dxa" w:w="4500"/>
          </w:tcPr>
          <w:p>
            <w:r>
              <w:t xml:space="preserve">0.1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Черновик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Понятие / явление</w:t>
      </w:r>
    </w:p>
    <w:p>
      <w:pPr>
        <w:spacing w:after="120"/>
        <w:jc w:val="both"/>
      </w:pPr>
      <w:r>
        <w:t xml:space="preserve">Определение и физический смысл.</w:t>
      </w:r>
    </w:p>
    <w:p>
      <w:pPr>
        <w:pStyle w:val="Heading1"/>
        <w:spacing w:after="120" w:before="200"/>
      </w:pPr>
      <w:r>
        <w:t xml:space="preserve">3. Практическое значение</w:t>
      </w:r>
    </w:p>
    <w:p>
      <w:pPr>
        <w:spacing w:after="120"/>
        <w:jc w:val="both"/>
      </w:pPr>
      <w:r>
        <w:t xml:space="preserve">Как это знание применяется при диагностике и обслуживании.</w:t>
      </w:r>
    </w:p>
    <w:p>
      <w:pPr>
        <w:pStyle w:val="Heading1"/>
        <w:spacing w:after="120" w:before="200"/>
      </w:pPr>
      <w:r>
        <w:t xml:space="preserve">4. Связанные разделы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01_Стандарты_СТД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2026-07-08T12:14:52.485Z</dcterms:created>
  <dcterms:modified xsi:type="dcterms:W3CDTF">2026-07-08T12:14:52.485Z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