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СТД-001. Диагностика теплообменных аппаратов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(базовая версия)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Человек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кожухотрубных и пластинчатых теплообменных аппаратов в составе тепловых пунктов и котельных.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Перепад температур на входе/выходе</w:t>
            </w:r>
          </w:p>
        </w:tc>
        <w:tc>
          <w:tcPr>
            <w:tcW w:type="dxa" w:w="2250"/>
          </w:tcPr>
          <w:p>
            <w:r>
              <w:t xml:space="preserve">в пределах проектного расчёта ±10%</w:t>
            </w:r>
          </w:p>
        </w:tc>
        <w:tc>
          <w:tcPr>
            <w:tcW w:type="dxa" w:w="2250"/>
          </w:tcPr>
          <w:p>
            <w:r>
              <w:t xml:space="preserve">штатные датчики температуры</w:t>
            </w:r>
          </w:p>
        </w:tc>
        <w:tc>
          <w:tcPr>
            <w:tcW w:type="dxa" w:w="2250"/>
          </w:tcPr>
          <w:p>
            <w:r>
              <w:t xml:space="preserve">непрерывно</w:t>
            </w:r>
          </w:p>
        </w:tc>
      </w:tr>
      <w:tr>
        <w:tc>
          <w:tcPr>
            <w:tcW w:type="dxa" w:w="2250"/>
          </w:tcPr>
          <w:p>
            <w:r>
              <w:t xml:space="preserve">Перепад давления на теплообменнике</w:t>
            </w:r>
          </w:p>
        </w:tc>
        <w:tc>
          <w:tcPr>
            <w:tcW w:type="dxa" w:w="2250"/>
          </w:tcPr>
          <w:p>
            <w:r>
              <w:t xml:space="preserve">не более паспортного значения +20%</w:t>
            </w:r>
          </w:p>
        </w:tc>
        <w:tc>
          <w:tcPr>
            <w:tcW w:type="dxa" w:w="2250"/>
          </w:tcPr>
          <w:p>
            <w:r>
              <w:t xml:space="preserve">манометры до/после аппарата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Тепловая мощность аппарата</w:t>
            </w:r>
          </w:p>
        </w:tc>
        <w:tc>
          <w:tcPr>
            <w:tcW w:type="dxa" w:w="2250"/>
          </w:tcPr>
          <w:p>
            <w:r>
              <w:t xml:space="preserve">не ниже 90% от проектной</w:t>
            </w:r>
          </w:p>
        </w:tc>
        <w:tc>
          <w:tcPr>
            <w:tcW w:type="dxa" w:w="2250"/>
          </w:tcPr>
          <w:p>
            <w:r>
              <w:t xml:space="preserve">расчёт по расходу и температурам</w:t>
            </w:r>
          </w:p>
        </w:tc>
        <w:tc>
          <w:tcPr>
            <w:tcW w:type="dxa" w:w="225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перепада давления при неизменном расходе — признак загрязнения теплообменных поверхностей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тепловой мощности при нормальном перепаде давления — признак снижения коэффициента теплопередачи или байпасирования потока.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температуры на выходе — признак нестабильности регулирующей арматуры, требует проверки по смежному РГЛ.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 и давлений на входе/выходе аппарата.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текущую тепловую мощность и сравнить с проектной.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более 10% — выполнить визуальный осмотр и, при возможности, вскрытие аппарата для оценки степени загрязнения.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теория теплопередачи в теплообменных аппаратах.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теплообменного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очистке и восстановлению теплопередающей способности.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2026-07-08T12:14:52.659Z</dcterms:created>
  <dcterms:modified xsi:type="dcterms:W3CDTF">2026-07-08T12:14:52.659Z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