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ИНС-001. Порядок запуска циркуляционного насоса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Инструкция для персонала (сформирована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ИНС-001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0.91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03_Инструкции_ИНС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ПРМ-005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инструкция составлена по общей отраслевой практике без привязки к конкретному оборудованию и процедурам объекта — сформирована промптом ПРМ-005 (Режим Б, ChatGPT). ТРЕБУЕТ ПРОВЕРКИ И АДАПТАЦИИ К ФАКТИЧЕСКОМУ ОБОРУДОВАНИЮ И ПРИНЯТЫМ НА ОБЪЕКТЕ ПРОЦЕДУРАМ ПЕРЕД УТВЕРЖДЕНИЕМ. Раздел «Необходимые условия» ДОПОЛНИТЕЛЬНО требует проверки специалистом по охране труда (см. КП-002, КП-003).</w:t>
      </w:r>
    </w:p>
    <w:p>
      <w:pPr>
        <w:pStyle w:val="Heading1"/>
        <w:spacing w:after="120" w:before="200"/>
      </w:pPr>
      <w:r>
        <w:t xml:space="preserve">1. Назначение инструкции</w:t>
      </w:r>
    </w:p>
    <w:p>
      <w:pPr>
        <w:spacing w:after="120"/>
        <w:jc w:val="both"/>
      </w:pPr>
      <w:r>
        <w:t xml:space="preserve">Инструкция описывает порядок безопасного запуска циркуляционного насоса системы отопления или горячего водоснабжения после ремонта, планового обслуживания или после остановки по любой причине. Смежный документ — СТД-003 «Диагностика циркуляционных насосов».</w:t>
      </w:r>
    </w:p>
    <w:p>
      <w:pPr>
        <w:pStyle w:val="Heading1"/>
        <w:spacing w:after="120" w:before="200"/>
      </w:pPr>
      <w:r>
        <w:t xml:space="preserve">2. Необходимые условия</w:t>
      </w:r>
    </w:p>
    <w:p>
      <w:pPr>
        <w:spacing w:after="120"/>
        <w:jc w:val="both"/>
      </w:pPr>
      <w:r>
        <w:t xml:space="preserve">ТРЕБУЕТ ПРОВЕРКИ СПЕЦИАЛИСТОМ ПО ОХРАНЕ ТРУДА.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Допуск: персонал, прошедший инструктаж по эксплуатации насосного и электрооборудования теплового пункта.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Инструмент: не требуется, если запуск выполняется штатными органами управления.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Средства защиты: согласно общим требованиям при работе в тепловом пункте (спецодежда, при необходимости — средства защиты слуха вблизи работающего насоса).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Убедиться, что система заполнена теплоносителем и воздух из контура удалён (иначе возможна работа «всухую» и повреждение насоса).</w:t>
      </w:r>
    </w:p>
    <w:p>
      <w:pPr>
        <w:pStyle w:val="Heading1"/>
        <w:spacing w:after="120" w:before="200"/>
      </w:pPr>
      <w:r>
        <w:t xml:space="preserve">3. Пошаговые действия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Убедитесь, что запорная арматура на входе и выходе насоса открыта.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Проверьте отсутствие посторонних предметов и блокировок вращения на муфте насоса (при наличии открытого доступа).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Проверьте наличие напряжения на клеммах электродвигателя и отсутствие аварийных сигналов на панели управления.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Включите насос штатным органом управления (кнопка / автоматика теплового пункта).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 течение первых 1-2 минут работы контролируйте показания тока электродвигателя и отсутствие посторонних шумов и вибрации.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Проверьте появление расчётного перепада давления (напора) на насосе — сверьте с нормой из СТД-003.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Зафиксируйте факт запуска и контрольные параметры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Типичные ошибки</w:t>
      </w:r>
    </w:p>
    <w:p>
      <w:pPr>
        <w:spacing w:after="120"/>
        <w:jc w:val="both"/>
      </w:pPr>
      <w:r>
        <w:t xml:space="preserve">Раздел пока не содержит данных из реальной эксплуатации на объекте (см. предупреждение выше) — это по-прежнему требуется для перевода документа в статус «Утверждено» (см. КП-002, критерии готовности). Ниже приведён один иллюстративный пример, зафиксированный в 13_Кейсы_объектов/КЕЙС-002 (сам кейс — иллюстративный, не привязан к реальному объекту), который демонстрирует, как должна выглядеть запись в этом разделе после появления настоящего опыта эксплуатации: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[ИЛЛЮСТРАТИВНО, ИСТОЧНИК — КЕЙС-002] Игнорирование постороннего шума и повышенной вибрации в первые минуты после запуска, если ток электродвигателя в норме. Реальная причина может быть в частичном засорении всасывающего трубопровода, вызывающем кавитацию — насос не следует оставлять работать без проверки, даже если электрические параметры выглядят нормально.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2026-07-10T08:58:48.768Z</dcterms:created>
  <dcterms:modified xsi:type="dcterms:W3CDTF">2026-07-10T08:58:48.780Z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