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КАР-001. Карточка оборудования — теплообменный аппарат (пример)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Пример заполнения по шаблону ШБ-009 (типовые открытые данные)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КАР-001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Пример (не привязан к реальному объекту)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08_Карточки_оборудования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открытые типовые данные — не является паспортом реальной единицы оборудования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карточка заполнена типовыми паспортными данными (общедоступные технические характеристики) в качестве примера структуры — сформирована промптом ПРМ-001-подобной логикой по открытым данным. Перед вводом в реальный реестр оборудования объекта ВСЕ поля раздела «Паспортные характеристики» и «Метаданные» ДОЛЖНЫ БЫТЬ ЗАМЕНЕНЫ фактическими данными конкретной установленной единицы оборудования (инвентарный номер, серийный номер, реальные параметры по паспорту завода-изготовителя).</w:t>
      </w:r>
    </w:p>
    <w:p>
      <w:pPr>
        <w:pStyle w:val="Heading1"/>
        <w:spacing w:after="120" w:before="200"/>
      </w:pPr>
      <w:r>
        <w:t xml:space="preserve">1. Метаданные единицы оборудования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500"/>
          </w:tcPr>
          <w:p>
            <w:r>
              <w:t xml:space="preserve">Инвентарный номер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Тип оборудования</w:t>
            </w:r>
          </w:p>
        </w:tc>
        <w:tc>
          <w:tcPr>
            <w:tcW w:type="dxa" w:w="4500"/>
          </w:tcPr>
          <w:p>
            <w:r>
              <w:t xml:space="preserve">Пластинчатый теплообменный аппарат</w:t>
            </w:r>
          </w:p>
        </w:tc>
      </w:tr>
      <w:tr>
        <w:tc>
          <w:tcPr>
            <w:tcW w:type="dxa" w:w="4500"/>
          </w:tcPr>
          <w:p>
            <w:r>
              <w:t xml:space="preserve">Модель / производитель</w:t>
            </w:r>
          </w:p>
        </w:tc>
        <w:tc>
          <w:tcPr>
            <w:tcW w:type="dxa" w:w="4500"/>
          </w:tcPr>
          <w:p>
            <w:r>
              <w:t xml:space="preserve">[ЗАПОЛНЯЕТСЯ ПО ФАКТИЧЕСКОМУ ПАСПОРТУ]</w:t>
            </w:r>
          </w:p>
        </w:tc>
      </w:tr>
      <w:tr>
        <w:tc>
          <w:tcPr>
            <w:tcW w:type="dxa" w:w="4500"/>
          </w:tcPr>
          <w:p>
            <w:r>
              <w:t xml:space="preserve">Место установки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Дата ввода в эксплуатацию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Ответственный за оборудование</w:t>
            </w:r>
          </w:p>
        </w:tc>
        <w:tc>
          <w:tcPr>
            <w:tcW w:type="dxa" w:w="4500"/>
          </w:tcPr>
          <w:p>
            <w:r>
              <w:t xml:space="preserve">[ЗАПОЛНЯЕТСЯ ПРИ ВВОДЕ РЕАЛЬНОЙ ЕДИНИЦЫ]</w:t>
            </w:r>
          </w:p>
        </w:tc>
      </w:tr>
      <w:tr>
        <w:tc>
          <w:tcPr>
            <w:tcW w:type="dxa" w:w="4500"/>
          </w:tcPr>
          <w:p>
            <w:r>
              <w:t xml:space="preserve">Статус</w:t>
            </w:r>
          </w:p>
        </w:tc>
        <w:tc>
          <w:tcPr>
            <w:tcW w:type="dxa" w:w="4500"/>
          </w:tcPr>
          <w:p>
            <w:r>
              <w:t xml:space="preserve">Пример — не в эксплуатации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2. Паспортные характеристики (типовые, требуют замены)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Типовое значение</w:t>
            </w:r>
          </w:p>
        </w:tc>
        <w:tc>
          <w:tcPr>
            <w:tcW w:type="dxa" w:w="3000"/>
            <w:shd w:fill="DDE6F0" w:val="clear"/>
          </w:tcPr>
          <w:p>
            <w:r>
              <w:rPr>
                <w:b/>
                <w:bCs/>
              </w:rPr>
              <w:t xml:space="preserve">Единица измерения</w:t>
            </w:r>
          </w:p>
        </w:tc>
      </w:tr>
      <w:tr>
        <w:tc>
          <w:tcPr>
            <w:tcW w:type="dxa" w:w="3000"/>
          </w:tcPr>
          <w:p>
            <w:r>
              <w:t xml:space="preserve">Тепловая мощность (типовой диапазон для теплового пункта)</w:t>
            </w:r>
          </w:p>
        </w:tc>
        <w:tc>
          <w:tcPr>
            <w:tcW w:type="dxa" w:w="3000"/>
          </w:tcPr>
          <w:p>
            <w:r>
              <w:t xml:space="preserve">0,1–2,0 (уточняется по паспорту)</w:t>
            </w:r>
          </w:p>
        </w:tc>
        <w:tc>
          <w:tcPr>
            <w:tcW w:type="dxa" w:w="3000"/>
          </w:tcPr>
          <w:p>
            <w:r>
              <w:t xml:space="preserve">МВт</w:t>
            </w:r>
          </w:p>
        </w:tc>
      </w:tr>
      <w:tr>
        <w:tc>
          <w:tcPr>
            <w:tcW w:type="dxa" w:w="3000"/>
          </w:tcPr>
          <w:p>
            <w:r>
              <w:t xml:space="preserve">Рабочее давление (типовое)</w:t>
            </w:r>
          </w:p>
        </w:tc>
        <w:tc>
          <w:tcPr>
            <w:tcW w:type="dxa" w:w="3000"/>
          </w:tcPr>
          <w:p>
            <w:r>
              <w:t xml:space="preserve">до 1,6</w:t>
            </w:r>
          </w:p>
        </w:tc>
        <w:tc>
          <w:tcPr>
            <w:tcW w:type="dxa" w:w="3000"/>
          </w:tcPr>
          <w:p>
            <w:r>
              <w:t xml:space="preserve">МПа</w:t>
            </w:r>
          </w:p>
        </w:tc>
      </w:tr>
      <w:tr>
        <w:tc>
          <w:tcPr>
            <w:tcW w:type="dxa" w:w="3000"/>
          </w:tcPr>
          <w:p>
            <w:r>
              <w:t xml:space="preserve">Материал пластин (распространённый вариант)</w:t>
            </w:r>
          </w:p>
        </w:tc>
        <w:tc>
          <w:tcPr>
            <w:tcW w:type="dxa" w:w="3000"/>
          </w:tcPr>
          <w:p>
            <w:r>
              <w:t xml:space="preserve">нержавеющая сталь</w:t>
            </w:r>
          </w:p>
        </w:tc>
        <w:tc>
          <w:tcPr>
            <w:tcW w:type="dxa" w:w="3000"/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Связанные документы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СТД-001 — Диагностика теплообменных аппаратов.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РГЛ-001 — Регламент обслуживания теплообменных аппаратов.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ЭНЦ-001 — Теплопередача в теплообменных аппаратах.</w:t>
      </w:r>
    </w:p>
    <w:p>
      <w:pPr>
        <w:pStyle w:val="Heading1"/>
        <w:spacing w:after="120" w:before="200"/>
      </w:pPr>
      <w:r>
        <w:t xml:space="preserve">4. Журнал диагностики и обслуживания</w:t>
      </w:r>
    </w:p>
    <w:p>
      <w:pPr>
        <w:spacing w:after="120"/>
        <w:jc w:val="both"/>
      </w:pPr>
      <w:r>
        <w:t xml:space="preserve">Пуст — заполняется по мере реальной эксплуатации конкретной единицы оборудования.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Событие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Замеренные параметры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Документ-основание</w:t>
            </w:r>
          </w:p>
        </w:tc>
      </w:tr>
      <w:tr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2026-07-10T02:23:55.103Z</dcterms:created>
  <dcterms:modified xsi:type="dcterms:W3CDTF">2026-07-10T02:23:55.103Z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