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КАР-002. Карточка оборудования — водогрейный котёл (пример)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Пример заполнения по шаблону ШБ-009 (типовые открытые данные)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КАР-002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Пример (не привязан к реальному объекту)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08_Карточки_оборудования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открытые типовые данные — не является паспортом реальной единицы оборудования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карточка заполнена типовыми паспортными данными (общедоступные технические характеристики) в качестве примера структуры — сформирована промптом ПРМ-001-подобной логикой по открытым данным. Перед вводом в реальный реестр оборудования объекта ВСЕ поля раздела «Паспортные характеристики» и «Метаданные» ДОЛЖНЫ БЫТЬ ЗАМЕНЕНЫ фактическими данными конкретной установленной единицы оборудования (инвентарный номер, серийный номер, реальные параметры по паспорту завода-изготовителя).</w:t>
      </w:r>
    </w:p>
    <w:p>
      <w:pPr>
        <w:pStyle w:val="Heading1"/>
        <w:spacing w:after="120" w:before="200"/>
      </w:pPr>
      <w:r>
        <w:t xml:space="preserve">1. Метаданные единицы оборудования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Инвентарный номер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Тип оборудования</w:t>
            </w:r>
          </w:p>
        </w:tc>
        <w:tc>
          <w:tcPr>
            <w:tcW w:type="dxa" w:w="4500"/>
          </w:tcPr>
          <w:p>
            <w:r>
              <w:t xml:space="preserve">Водогрейный котёл</w:t>
            </w:r>
          </w:p>
        </w:tc>
      </w:tr>
      <w:tr>
        <w:tc>
          <w:tcPr>
            <w:tcW w:type="dxa" w:w="4500"/>
          </w:tcPr>
          <w:p>
            <w:r>
              <w:t xml:space="preserve">Модель / производитель</w:t>
            </w:r>
          </w:p>
        </w:tc>
        <w:tc>
          <w:tcPr>
            <w:tcW w:type="dxa" w:w="4500"/>
          </w:tcPr>
          <w:p>
            <w:r>
              <w:t xml:space="preserve">[ЗАПОЛНЯЕТСЯ ПО ФАКТИЧЕСКОМУ ПАСПОРТУ]</w:t>
            </w:r>
          </w:p>
        </w:tc>
      </w:tr>
      <w:tr>
        <w:tc>
          <w:tcPr>
            <w:tcW w:type="dxa" w:w="4500"/>
          </w:tcPr>
          <w:p>
            <w:r>
              <w:t xml:space="preserve">Место установки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Дата ввода в эксплуатацию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Ответственный за оборудование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Статус</w:t>
            </w:r>
          </w:p>
        </w:tc>
        <w:tc>
          <w:tcPr>
            <w:tcW w:type="dxa" w:w="4500"/>
          </w:tcPr>
          <w:p>
            <w:r>
              <w:t xml:space="preserve">Пример — не в эксплуатации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Паспортные характеристики (типовые, требуют замены)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Типовое значение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Единица измерения</w:t>
            </w:r>
          </w:p>
        </w:tc>
      </w:tr>
      <w:tr>
        <w:tc>
          <w:tcPr>
            <w:tcW w:type="dxa" w:w="3000"/>
          </w:tcPr>
          <w:p>
            <w:r>
              <w:t xml:space="preserve">Номинальная тепловая мощность (типовой диапазон)</w:t>
            </w:r>
          </w:p>
        </w:tc>
        <w:tc>
          <w:tcPr>
            <w:tcW w:type="dxa" w:w="3000"/>
          </w:tcPr>
          <w:p>
            <w:r>
              <w:t xml:space="preserve">0,1–3,0 (уточняется по паспорту)</w:t>
            </w:r>
          </w:p>
        </w:tc>
        <w:tc>
          <w:tcPr>
            <w:tcW w:type="dxa" w:w="3000"/>
          </w:tcPr>
          <w:p>
            <w:r>
              <w:t xml:space="preserve">МВт</w:t>
            </w:r>
          </w:p>
        </w:tc>
      </w:tr>
      <w:tr>
        <w:tc>
          <w:tcPr>
            <w:tcW w:type="dxa" w:w="3000"/>
          </w:tcPr>
          <w:p>
            <w:r>
              <w:t xml:space="preserve">Вид топлива (распространённый вариант)</w:t>
            </w:r>
          </w:p>
        </w:tc>
        <w:tc>
          <w:tcPr>
            <w:tcW w:type="dxa" w:w="3000"/>
          </w:tcPr>
          <w:p>
            <w:r>
              <w:t xml:space="preserve">природный газ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t xml:space="preserve">Рабочее давление воды (типовое)</w:t>
            </w:r>
          </w:p>
        </w:tc>
        <w:tc>
          <w:tcPr>
            <w:tcW w:type="dxa" w:w="3000"/>
          </w:tcPr>
          <w:p>
            <w:r>
              <w:t xml:space="preserve">до 0,6</w:t>
            </w:r>
          </w:p>
        </w:tc>
        <w:tc>
          <w:tcPr>
            <w:tcW w:type="dxa" w:w="3000"/>
          </w:tcPr>
          <w:p>
            <w:r>
              <w:t xml:space="preserve">МПа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Связанные документы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СТД-002 — Диагностика водогрейных котлов.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ЭНЦ-002 — Процесс горения и КПД водогрейных котлов.</w:t>
      </w:r>
    </w:p>
    <w:p>
      <w:pPr>
        <w:pStyle w:val="Heading1"/>
        <w:spacing w:after="120" w:before="200"/>
      </w:pPr>
      <w:r>
        <w:t xml:space="preserve">4. Журнал диагностики и обслуживания</w:t>
      </w:r>
    </w:p>
    <w:p>
      <w:pPr>
        <w:spacing w:after="120"/>
        <w:jc w:val="both"/>
      </w:pPr>
      <w:r>
        <w:t xml:space="preserve">Пуст — заполняется по мере реальной эксплуатации конкретной единицы оборудования.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Событие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Замеренные параметры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Документ-основание</w:t>
            </w:r>
          </w:p>
        </w:tc>
      </w:tr>
      <w:tr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2026-07-10T02:23:55.150Z</dcterms:created>
  <dcterms:modified xsi:type="dcterms:W3CDTF">2026-07-10T02:23:55.150Z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