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КАР-003. Карточка оборудования — циркуляционный насос (пример)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Пример заполнения по шаблону ШБ-009 (типовые открытые данные)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КАР-003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Пример (не привязан к реальному объекту)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08_Карточки_оборудования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открытые типовые данные — не является паспортом реальной единицы оборудования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карточка заполнена типовыми паспортными данными (общедоступные технические характеристики) в качестве примера структуры — сформирована промптом ПРМ-001-подобной логикой по открытым данным. Перед вводом в реальный реестр оборудования объекта ВСЕ поля раздела «Паспортные характеристики» и «Метаданные» ДОЛЖНЫ БЫТЬ ЗАМЕНЕНЫ фактическими данными конкретной установленной единицы оборудования (инвентарный номер, серийный номер, реальные параметры по паспорту завода-изготовителя).</w:t>
      </w:r>
    </w:p>
    <w:p>
      <w:pPr>
        <w:pStyle w:val="Heading1"/>
        <w:spacing w:after="120" w:before="200"/>
      </w:pPr>
      <w:r>
        <w:t xml:space="preserve">1. Метаданные единицы оборудования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Инвентарный номер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Тип оборудования</w:t>
            </w:r>
          </w:p>
        </w:tc>
        <w:tc>
          <w:tcPr>
            <w:tcW w:type="dxa" w:w="4500"/>
          </w:tcPr>
          <w:p>
            <w:r>
              <w:t xml:space="preserve">Циркуляционный насос</w:t>
            </w:r>
          </w:p>
        </w:tc>
      </w:tr>
      <w:tr>
        <w:tc>
          <w:tcPr>
            <w:tcW w:type="dxa" w:w="4500"/>
          </w:tcPr>
          <w:p>
            <w:r>
              <w:t xml:space="preserve">Модель / производитель</w:t>
            </w:r>
          </w:p>
        </w:tc>
        <w:tc>
          <w:tcPr>
            <w:tcW w:type="dxa" w:w="4500"/>
          </w:tcPr>
          <w:p>
            <w:r>
              <w:t xml:space="preserve">[ЗАПОЛНЯЕТСЯ ПО ФАКТИЧЕСКОМУ ПАСПОРТУ]</w:t>
            </w:r>
          </w:p>
        </w:tc>
      </w:tr>
      <w:tr>
        <w:tc>
          <w:tcPr>
            <w:tcW w:type="dxa" w:w="4500"/>
          </w:tcPr>
          <w:p>
            <w:r>
              <w:t xml:space="preserve">Место установки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Дата ввода в эксплуатацию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Ответственный за оборудование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Статус</w:t>
            </w:r>
          </w:p>
        </w:tc>
        <w:tc>
          <w:tcPr>
            <w:tcW w:type="dxa" w:w="4500"/>
          </w:tcPr>
          <w:p>
            <w:r>
              <w:t xml:space="preserve">Пример — не в эксплуатации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Паспортные характеристики (типовые, требуют замены)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Типовое значение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Единица измерения</w:t>
            </w:r>
          </w:p>
        </w:tc>
      </w:tr>
      <w:tr>
        <w:tc>
          <w:tcPr>
            <w:tcW w:type="dxa" w:w="3000"/>
          </w:tcPr>
          <w:p>
            <w:r>
              <w:t xml:space="preserve">Напор (типовой диапазон для теплового пункта)</w:t>
            </w:r>
          </w:p>
        </w:tc>
        <w:tc>
          <w:tcPr>
            <w:tcW w:type="dxa" w:w="3000"/>
          </w:tcPr>
          <w:p>
            <w:r>
              <w:t xml:space="preserve">4–20 (уточняется по паспорту)</w:t>
            </w:r>
          </w:p>
        </w:tc>
        <w:tc>
          <w:tcPr>
            <w:tcW w:type="dxa" w:w="3000"/>
          </w:tcPr>
          <w:p>
            <w:r>
              <w:t xml:space="preserve">м вод. ст.</w:t>
            </w:r>
          </w:p>
        </w:tc>
      </w:tr>
      <w:tr>
        <w:tc>
          <w:tcPr>
            <w:tcW w:type="dxa" w:w="3000"/>
          </w:tcPr>
          <w:p>
            <w:r>
              <w:t xml:space="preserve">Номинальный ток электродвигателя (типовой)</w:t>
            </w:r>
          </w:p>
        </w:tc>
        <w:tc>
          <w:tcPr>
            <w:tcW w:type="dxa" w:w="3000"/>
          </w:tcPr>
          <w:p>
            <w:r>
              <w:t xml:space="preserve">[ЗАПОЛНЯЕТСЯ ПО ПАСПОРТУ ДВИГАТЕЛЯ]</w:t>
            </w:r>
          </w:p>
        </w:tc>
        <w:tc>
          <w:tcPr>
            <w:tcW w:type="dxa" w:w="3000"/>
          </w:tcPr>
          <w:p>
            <w:r>
              <w:t xml:space="preserve">А</w:t>
            </w:r>
          </w:p>
        </w:tc>
      </w:tr>
      <w:tr>
        <w:tc>
          <w:tcPr>
            <w:tcW w:type="dxa" w:w="3000"/>
          </w:tcPr>
          <w:p>
            <w:r>
              <w:t xml:space="preserve">Класс напряжения электродвигателя (распространённый вариант)</w:t>
            </w:r>
          </w:p>
        </w:tc>
        <w:tc>
          <w:tcPr>
            <w:tcW w:type="dxa" w:w="3000"/>
          </w:tcPr>
          <w:p>
            <w:r>
              <w:t xml:space="preserve">380</w:t>
            </w:r>
          </w:p>
        </w:tc>
        <w:tc>
          <w:tcPr>
            <w:tcW w:type="dxa" w:w="3000"/>
          </w:tcPr>
          <w:p>
            <w:r>
              <w:t xml:space="preserve">В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Связанные документы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СТД-003 — Диагностика циркуляционных насосов.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ИНС-001 — Порядок запуска циркуляционного насоса (статус «На редакции»).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ЭНЦ-003 — Принципы работы центробежных насосов.</w:t>
      </w:r>
    </w:p>
    <w:p>
      <w:pPr>
        <w:pStyle w:val="Heading1"/>
        <w:spacing w:after="120" w:before="200"/>
      </w:pPr>
      <w:r>
        <w:t xml:space="preserve">4. Журнал диагностики и обслуживания</w:t>
      </w:r>
    </w:p>
    <w:p>
      <w:pPr>
        <w:spacing w:after="120"/>
        <w:jc w:val="both"/>
      </w:pPr>
      <w:r>
        <w:t xml:space="preserve">Пуст — заполняется по мере реальной эксплуатации конкретной единицы оборудования.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Событие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Замеренные параметры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Документ-основание</w:t>
            </w:r>
          </w:p>
        </w:tc>
      </w:tr>
      <w:tr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2026-07-10T02:23:55.203Z</dcterms:created>
  <dcterms:modified xsi:type="dcterms:W3CDTF">2026-07-10T02:23:55.203Z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