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СТД-003. Диагностика циркуляционных насосов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Стандарт диагностики (сформирован в Режиме Б — по открытым данным)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СТД-003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01_Стандарты_СТД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09.07.2026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(ChatGPT, Режим Б — открытые данные) + Claude (сборка), промпты ПРМ-001, ПРМ-002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⚠ Предупреждение</w:t>
      </w:r>
    </w:p>
    <w:p>
      <w:pPr>
        <w:spacing w:after="120"/>
        <w:jc w:val="both"/>
      </w:pPr>
      <w:r>
        <w:t xml:space="preserve">ВНИМАНИЕ: документ составлен по открытым данным (общепринятая инженерная практика эксплуатации, типовые диапазоны параметров) без привязки к конкретному оборудованию объекта — сформирован промптом ПРМ-001 (Режим Б, ChatGPT) и структурирован промптом ПРМ-002 (Claude). Все числовые значения — типовые, ТРЕБУЮТ ПРОВЕРКИ И ПРИВЯЗКИ К ФАКТИЧЕСКОМУ ПАСПОРТУ ОБОРУДОВАНИЯ ОБЪЕКТА ответственным за раздел перед использованием в реальной эксплуатации (см. КП-002, КП-003).</w:t>
      </w:r>
    </w:p>
    <w:p>
      <w:pPr>
        <w:pStyle w:val="Heading1"/>
        <w:spacing w:after="120" w:before="200"/>
      </w:pPr>
      <w:r>
        <w:t xml:space="preserve">1. Область применения</w:t>
      </w:r>
    </w:p>
    <w:p>
      <w:pPr>
        <w:spacing w:after="120"/>
        <w:jc w:val="both"/>
      </w:pPr>
      <w:r>
        <w:t xml:space="preserve">Стандарт применяется при диагностике циркуляционных насосов систем отопления и горячего водоснабжения в составе тепловых пунктов.</w:t>
      </w:r>
    </w:p>
    <w:p>
      <w:pPr>
        <w:pStyle w:val="Heading1"/>
        <w:spacing w:after="120" w:before="200"/>
      </w:pPr>
      <w:r>
        <w:t xml:space="preserve">2. Контролируемые параметры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Норма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Источник нормы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Метод измерения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Периодичность</w:t>
            </w:r>
          </w:p>
        </w:tc>
      </w:tr>
      <w:tr>
        <w:tc>
          <w:tcPr>
            <w:tcW w:type="dxa" w:w="1800"/>
          </w:tcPr>
          <w:p>
            <w:r>
              <w:t xml:space="preserve">Напор (перепад давления) на насосе</w:t>
            </w:r>
          </w:p>
        </w:tc>
        <w:tc>
          <w:tcPr>
            <w:tcW w:type="dxa" w:w="1800"/>
          </w:tcPr>
          <w:p>
            <w:r>
              <w:t xml:space="preserve">в пределах паспортной характеристики ±10%</w:t>
            </w:r>
          </w:p>
        </w:tc>
        <w:tc>
          <w:tcPr>
            <w:tcW w:type="dxa" w:w="1800"/>
          </w:tcPr>
          <w:p>
            <w:r>
              <w:t xml:space="preserve">типовое допустимое отклонение, отраслевая практика</w:t>
            </w:r>
          </w:p>
        </w:tc>
        <w:tc>
          <w:tcPr>
            <w:tcW w:type="dxa" w:w="1800"/>
          </w:tcPr>
          <w:p>
            <w:r>
              <w:t xml:space="preserve">манометры до/после насоса</w:t>
            </w:r>
          </w:p>
        </w:tc>
        <w:tc>
          <w:tcPr>
            <w:tcW w:type="dxa" w:w="1800"/>
          </w:tcPr>
          <w:p>
            <w:r>
              <w:t xml:space="preserve">ежесменно</w:t>
            </w:r>
          </w:p>
        </w:tc>
      </w:tr>
      <w:tr>
        <w:tc>
          <w:tcPr>
            <w:tcW w:type="dxa" w:w="1800"/>
          </w:tcPr>
          <w:p>
            <w:r>
              <w:t xml:space="preserve">Потребляемый ток электродвигателя</w:t>
            </w:r>
          </w:p>
        </w:tc>
        <w:tc>
          <w:tcPr>
            <w:tcW w:type="dxa" w:w="1800"/>
          </w:tcPr>
          <w:p>
            <w:r>
              <w:t xml:space="preserve">не выше номинального тока по паспорту двигателя</w:t>
            </w:r>
          </w:p>
        </w:tc>
        <w:tc>
          <w:tcPr>
            <w:tcW w:type="dxa" w:w="1800"/>
          </w:tcPr>
          <w:p>
            <w:r>
              <w:t xml:space="preserve">типовое требование, паспортные данные электродвигателя</w:t>
            </w:r>
          </w:p>
        </w:tc>
        <w:tc>
          <w:tcPr>
            <w:tcW w:type="dxa" w:w="1800"/>
          </w:tcPr>
          <w:p>
            <w:r>
              <w:t xml:space="preserve">амперметр / токовые клещи</w:t>
            </w:r>
          </w:p>
        </w:tc>
        <w:tc>
          <w:tcPr>
            <w:tcW w:type="dxa" w:w="1800"/>
          </w:tcPr>
          <w:p>
            <w:r>
              <w:t xml:space="preserve">ежесменно</w:t>
            </w:r>
          </w:p>
        </w:tc>
      </w:tr>
      <w:tr>
        <w:tc>
          <w:tcPr>
            <w:tcW w:type="dxa" w:w="1800"/>
          </w:tcPr>
          <w:p>
            <w:r>
              <w:t xml:space="preserve">Уровень вибрации корпуса насоса</w:t>
            </w:r>
          </w:p>
        </w:tc>
        <w:tc>
          <w:tcPr>
            <w:tcW w:type="dxa" w:w="1800"/>
          </w:tcPr>
          <w:p>
            <w:r>
              <w:t xml:space="preserve">не выше общепринятых норм для роторного оборудования данного класса (требует уточнения по факт. паспорту)</w:t>
            </w:r>
          </w:p>
        </w:tc>
        <w:tc>
          <w:tcPr>
            <w:tcW w:type="dxa" w:w="1800"/>
          </w:tcPr>
          <w:p>
            <w:r>
              <w:t xml:space="preserve">общепринятая отраслевая практика виброконтроля</w:t>
            </w:r>
          </w:p>
        </w:tc>
        <w:tc>
          <w:tcPr>
            <w:tcW w:type="dxa" w:w="1800"/>
          </w:tcPr>
          <w:p>
            <w:r>
              <w:t xml:space="preserve">виброметр</w:t>
            </w:r>
          </w:p>
        </w:tc>
        <w:tc>
          <w:tcPr>
            <w:tcW w:type="dxa" w:w="1800"/>
          </w:tcPr>
          <w:p>
            <w:r>
              <w:t xml:space="preserve">ежемесячно</w:t>
            </w:r>
          </w:p>
        </w:tc>
      </w:tr>
      <w:tr>
        <w:tc>
          <w:tcPr>
            <w:tcW w:type="dxa" w:w="1800"/>
          </w:tcPr>
          <w:p>
            <w:r>
              <w:t xml:space="preserve">Сопротивление изоляции обмотки двигателя</w:t>
            </w:r>
          </w:p>
        </w:tc>
        <w:tc>
          <w:tcPr>
            <w:tcW w:type="dxa" w:w="1800"/>
          </w:tcPr>
          <w:p>
            <w:r>
              <w:t xml:space="preserve">не ниже общепринятого минимального значения для электродвигателей данного класса напряжения</w:t>
            </w:r>
          </w:p>
        </w:tc>
        <w:tc>
          <w:tcPr>
            <w:tcW w:type="dxa" w:w="1800"/>
          </w:tcPr>
          <w:p>
            <w:r>
              <w:t xml:space="preserve">общепринятая норма электробезопасности</w:t>
            </w:r>
          </w:p>
        </w:tc>
        <w:tc>
          <w:tcPr>
            <w:tcW w:type="dxa" w:w="1800"/>
          </w:tcPr>
          <w:p>
            <w:r>
              <w:t xml:space="preserve">мегаомметр</w:t>
            </w:r>
          </w:p>
        </w:tc>
        <w:tc>
          <w:tcPr>
            <w:tcW w:type="dxa" w:w="1800"/>
          </w:tcPr>
          <w:p>
            <w:r>
              <w:t xml:space="preserve">раз в квартал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3. Признаки отклонений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Рост потребляемого тока при неизменном режиме работы — признак износа подшипников или заклинивания ротора.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Снижение напора при неизменной частоте вращения — признак износа рабочего колеса или кавитации.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Повышенная вибрация корпуса — признак дисбаланса ротора или износа подшипников (см. 10_Каталог_неисправностей).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Снижение сопротивления изоляции — риск повреждения обмотки, требует немедленной проверки специалистом по электрооборудованию.</w:t>
      </w:r>
    </w:p>
    <w:p>
      <w:pPr>
        <w:pStyle w:val="Heading1"/>
        <w:spacing w:after="120" w:before="200"/>
      </w:pPr>
      <w:r>
        <w:t xml:space="preserve">4. Порядок диагностики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Снять текущие показания напора, потребляемого тока и (при наличии прибора) уровня вибрации.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Сравнить показания с паспортной характеристикой насоса и электродвигателя.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отклонении — выполнить внешний осмотр насоса на предмет протечек, посторонних шумов, перегрева корпуса.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подозрении на повреждение изоляции — привлечь специалиста по электрооборудованию для измерения сопротивления изоляции.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Зафиксировать результат диагностики в карточке оборудования (08_Карточки_оборудования).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подтверждении неисправности — оформить кейс объекта (13_Кейсы_объектов) по шаблону ШБ-006.</w:t>
      </w:r>
    </w:p>
    <w:p>
      <w:pPr>
        <w:pStyle w:val="Heading1"/>
        <w:spacing w:after="120" w:before="200"/>
      </w:pPr>
      <w:r>
        <w:t xml:space="preserve">5. Ссылки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11_Физика_процессов — принципы работы центробежных насосов.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ЭНЦ-003 — Принципы работы центробежных насосов (04_Энциклопедия) — физический механизм, лежащий в основе признаков отклонений, описанных в разделе 3.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10_Каталог_неисправностей — классификатор неисправностей насосного оборудования.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12_Типовые_решения — типовые решения по замене подшипников и балансировке ротора.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СТД-002 — диагностика водогрейных котлов (смежный узел системы).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2026-07-09T08:07:46.598Z</dcterms:created>
  <dcterms:modified xsi:type="dcterms:W3CDTF">2026-07-09T08:07:46.598Z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