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РГЛ-001. Регламент планового обслуживания теплообменных аппаратов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кожухотрубных и пластинчатых теплообменных аппаратов в составе тепловых пунктов и котельных (смежные документы — СТД-001 «Диагностика теплообменных аппаратов», ЭНЦ-001 «Теплопередача в теплообменных аппаратах»).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корпуса и фланцевых соединений на предмет протечек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Контроль перепада давления и температур (сверка с СТД-001)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Промывка теплообменных пластин/трубок от накипи и загрязнений</w:t>
            </w:r>
          </w:p>
        </w:tc>
        <w:tc>
          <w:tcPr>
            <w:tcW w:type="dxa" w:w="2250"/>
          </w:tcPr>
          <w:p>
            <w:r>
              <w:t xml:space="preserve">1 раз в 6–12 месяцев (уточняется по фактическому качеству теплоносителя)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теплообменного оборудования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герметичности прокладок и фланцевых соединений с протяжкой крепежа</w:t>
            </w:r>
          </w:p>
        </w:tc>
        <w:tc>
          <w:tcPr>
            <w:tcW w:type="dxa" w:w="2250"/>
          </w:tcPr>
          <w:p>
            <w:r>
              <w:t xml:space="preserve">1 раз в 12 месяцев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Полная ревизия аппарата с частичной разборкой</w:t>
            </w:r>
          </w:p>
        </w:tc>
        <w:tc>
          <w:tcPr>
            <w:tcW w:type="dxa" w:w="2250"/>
          </w:tcPr>
          <w:p>
            <w:r>
              <w:t xml:space="preserve">1 раз в 3–5 лет (уточняется по паспорту)</w:t>
            </w:r>
          </w:p>
        </w:tc>
        <w:tc>
          <w:tcPr>
            <w:tcW w:type="dxa" w:w="2250"/>
          </w:tcPr>
          <w:p>
            <w:r>
              <w:t xml:space="preserve">типовая практика капитального обслуживания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подрядчик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отключить аппарат от контура, сбросить давление, убедиться в отсутствии остаточного тепла теплоносителя,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осмотр/промывку/ревизию согласно графику раздела 2, с фиксацией фактического состояния теплообменных поверхностей.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сборки — проверить герметичность под рабочим давлением, снять контрольные показания температур и перепада давления, сравнить с нормами СТД-001.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Работы на аппарате под давлением выполняются только после полного сброса давления и отключения от контура согласно нарядной системе объекта.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работе с горячим теплоносителем — использование средств защиты от термических ожогов (термостойкие перчатки, спецодежда).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Разборка аппарата — не менее чем двумя исполнителями, с оформлением наряда-допуска на работы повышенной опасности.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Комплект прокладок соответствующего типоразмера (по паспорту аппарата).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Моющие средства для удаления накипи, совместимые с материалом теплообменных поверхностей.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Стандартный слесарный инструмент, динамометрический ключ для протяжки фланцевых соединений.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2026-07-09T08:07:46.629Z</dcterms:created>
  <dcterms:modified xsi:type="dcterms:W3CDTF">2026-07-09T08:07:46.629Z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