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ЭНЦ-003. Принципы работы центробежных насосов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ЭНЦ-003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04_Энциклопедия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ПРМ-006 — общая инженерная теория, не требует привязки к объекту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Понятие / явление</w:t>
      </w:r>
    </w:p>
    <w:p>
      <w:pPr>
        <w:spacing w:after="120"/>
        <w:jc w:val="both"/>
      </w:pPr>
      <w:r>
        <w:t xml:space="preserve">Центробежный насос создаёт напор (перепад давления) за счёт передачи механической энергии вращающегося рабочего колеса потоку жидкости: жидкость поступает в центр колеса и под действием центробежной силы отбрасывается к периферии, где преобразует часть кинетической энергии в давление.</w:t>
      </w:r>
    </w:p>
    <w:p>
      <w:pPr>
        <w:spacing w:after="120"/>
        <w:jc w:val="both"/>
      </w:pPr>
      <w:r>
        <w:t xml:space="preserve">Развиваемый насосом напор при постоянной частоте вращения зависит от расхода — эта зависимость описывается напорной характеристикой насоса (паспортной кривой). Снижение фактического напора при неизменной частоте вращения и исправном электродвигателе указывает на отклонение от этой характеристики — чаще всего из-за износа рабочего колеса или кавитации (образования и схлопывания пузырьков пара в зоне пониженного давления на входе в колесо).</w:t>
      </w:r>
    </w:p>
    <w:p>
      <w:pPr>
        <w:spacing w:after="120"/>
        <w:jc w:val="both"/>
      </w:pPr>
      <w:r>
        <w:t xml:space="preserve">Кавитация также вызывает характерный шум и повышенную вибрацию, а её длительное воздействие эрозионно разрушает рабочее колесо, дополнительно снижая напор — то есть само явление кавитации и его диагностический признак (снижение напора) взаимно усиливают друг друга во времени.</w:t>
      </w:r>
    </w:p>
    <w:p>
      <w:pPr>
        <w:pStyle w:val="Heading1"/>
        <w:spacing w:after="120" w:before="200"/>
      </w:pPr>
      <w:r>
        <w:t xml:space="preserve">2. Практическое значение</w:t>
      </w:r>
    </w:p>
    <w:p>
      <w:pPr>
        <w:spacing w:after="120"/>
        <w:jc w:val="both"/>
      </w:pPr>
      <w:r>
        <w:t xml:space="preserve">Это объясняет логику диагностического правила СТД-003: снижение напора при неизменной частоте вращения интерпретируется как признак износа рабочего колеса или кавитации именно потому, что оба механизма нарушают штатное преобразование механической энергии колеса в давление потока.</w:t>
      </w:r>
    </w:p>
    <w:p>
      <w:pPr>
        <w:spacing w:after="120"/>
        <w:jc w:val="both"/>
      </w:pPr>
      <w:r>
        <w:t xml:space="preserve">Понимание связи между вибрацией и кавитацией/дисбалансом объясняет, почему ИНС-001 требует контроля вибрации и шума уже в первые минуты после запуска насоса — на этом этапе аномальные признаки проявляются наиболее ярко, до выхода насоса на установившийся режим.</w:t>
      </w:r>
    </w:p>
    <w:p>
      <w:pPr>
        <w:pStyle w:val="Heading1"/>
        <w:spacing w:after="120" w:before="200"/>
      </w:pPr>
      <w:r>
        <w:t xml:space="preserve">3. Связанные разделы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СТД-003 — Диагностика циркуляционных насосов (01_Стандарты_СТД/СТД-003).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ИНС-001 — Порядок запуска циркуляционного насоса (20_На_редакции, v0.9).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 «Износ рабочего колеса», «Кавитация».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2026-07-09T08:06:37.837Z</dcterms:created>
  <dcterms:modified xsi:type="dcterms:W3CDTF">2026-07-09T08:06:37.837Z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