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СТД-001. Диагностика теплообменных аппаратов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(базовая версия)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Человек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кожухотрубных и пластинчатых теплообменных аппаратов в составе тепловых пунктов и котельных.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2250"/>
          </w:tcPr>
          <w:p>
            <w:r>
              <w:t xml:space="preserve">Перепад температур на входе/выходе</w:t>
            </w:r>
          </w:p>
        </w:tc>
        <w:tc>
          <w:tcPr>
            <w:tcW w:type="dxa" w:w="2250"/>
          </w:tcPr>
          <w:p>
            <w:r>
              <w:t xml:space="preserve">в пределах проектного расчёта ±10%</w:t>
            </w:r>
          </w:p>
        </w:tc>
        <w:tc>
          <w:tcPr>
            <w:tcW w:type="dxa" w:w="2250"/>
          </w:tcPr>
          <w:p>
            <w:r>
              <w:t xml:space="preserve">штатные датчики температуры</w:t>
            </w:r>
          </w:p>
        </w:tc>
        <w:tc>
          <w:tcPr>
            <w:tcW w:type="dxa" w:w="2250"/>
          </w:tcPr>
          <w:p>
            <w:r>
              <w:t xml:space="preserve">непрерывно</w:t>
            </w:r>
          </w:p>
        </w:tc>
      </w:tr>
      <w:tr>
        <w:tc>
          <w:tcPr>
            <w:tcW w:type="dxa" w:w="2250"/>
          </w:tcPr>
          <w:p>
            <w:r>
              <w:t xml:space="preserve">Перепад давления на теплообменнике</w:t>
            </w:r>
          </w:p>
        </w:tc>
        <w:tc>
          <w:tcPr>
            <w:tcW w:type="dxa" w:w="2250"/>
          </w:tcPr>
          <w:p>
            <w:r>
              <w:t xml:space="preserve">не более паспортного значения +20%</w:t>
            </w:r>
          </w:p>
        </w:tc>
        <w:tc>
          <w:tcPr>
            <w:tcW w:type="dxa" w:w="2250"/>
          </w:tcPr>
          <w:p>
            <w:r>
              <w:t xml:space="preserve">манометры до/после аппарата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</w:tr>
      <w:tr>
        <w:tc>
          <w:tcPr>
            <w:tcW w:type="dxa" w:w="2250"/>
          </w:tcPr>
          <w:p>
            <w:r>
              <w:t xml:space="preserve">Тепловая мощность аппарата</w:t>
            </w:r>
          </w:p>
        </w:tc>
        <w:tc>
          <w:tcPr>
            <w:tcW w:type="dxa" w:w="2250"/>
          </w:tcPr>
          <w:p>
            <w:r>
              <w:t xml:space="preserve">не ниже 90% от проектной</w:t>
            </w:r>
          </w:p>
        </w:tc>
        <w:tc>
          <w:tcPr>
            <w:tcW w:type="dxa" w:w="2250"/>
          </w:tcPr>
          <w:p>
            <w:r>
              <w:t xml:space="preserve">расчёт по расходу и температурам</w:t>
            </w:r>
          </w:p>
        </w:tc>
        <w:tc>
          <w:tcPr>
            <w:tcW w:type="dxa" w:w="2250"/>
          </w:tcPr>
          <w:p>
            <w:r>
              <w:t xml:space="preserve">ежемесячно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перепада давления при неизменном расходе — признак загрязнения теплообменных поверхностей (см. 10_Каталог_неисправностей, класс «Загрязнение»).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тепловой мощности при нормальном перепаде давления — признак снижения коэффициента теплопередачи или байпасирования потока.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Резкие колебания температуры на выходе — признак нестабильности регулирующей арматуры, требует проверки по смежному РГЛ.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температур и давлений на входе/выходе аппарата.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Рассчитать текущую тепловую мощность и сравнить с проектной.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более 10% — выполнить визуальный осмотр и, при возможности, вскрытие аппарата для оценки степени загрязнения.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ЭНЦ-001 — Теплопередача в теплообменных аппаратах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теплообменного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очистке и восстановлению теплопередающей способности.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РГЛ-001 — Регламент планового обслуживания теплообменных аппаратов (02_Регламенты_РГЛ).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2026-07-10T02:40:17.520Z</dcterms:created>
  <dcterms:modified xsi:type="dcterms:W3CDTF">2026-07-10T02:40:17.520Z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