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СТД-003. Диагностика циркуляционных насосов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циркуляционных насосов систем отопления и горячего водоснабжения в составе тепловых пунктов.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1800"/>
          </w:tcPr>
          <w:p>
            <w:r>
              <w:t xml:space="preserve">Напор (перепад давления) на насосе</w:t>
            </w:r>
          </w:p>
        </w:tc>
        <w:tc>
          <w:tcPr>
            <w:tcW w:type="dxa" w:w="1800"/>
          </w:tcPr>
          <w:p>
            <w:r>
              <w:t xml:space="preserve">в пределах паспортной характеристики ±10%</w:t>
            </w:r>
          </w:p>
        </w:tc>
        <w:tc>
          <w:tcPr>
            <w:tcW w:type="dxa" w:w="1800"/>
          </w:tcPr>
          <w:p>
            <w:r>
              <w:t xml:space="preserve">типовое допустимое отклонение, отраслевая практика</w:t>
            </w:r>
          </w:p>
        </w:tc>
        <w:tc>
          <w:tcPr>
            <w:tcW w:type="dxa" w:w="1800"/>
          </w:tcPr>
          <w:p>
            <w:r>
              <w:t xml:space="preserve">манометры до/после насоса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Потребляемый ток электродвигателя</w:t>
            </w:r>
          </w:p>
        </w:tc>
        <w:tc>
          <w:tcPr>
            <w:tcW w:type="dxa" w:w="1800"/>
          </w:tcPr>
          <w:p>
            <w:r>
              <w:t xml:space="preserve">не выше номинального тока по паспорту двигателя</w:t>
            </w:r>
          </w:p>
        </w:tc>
        <w:tc>
          <w:tcPr>
            <w:tcW w:type="dxa" w:w="1800"/>
          </w:tcPr>
          <w:p>
            <w:r>
              <w:t xml:space="preserve">типовое требование, паспортные данные электродвигателя</w:t>
            </w:r>
          </w:p>
        </w:tc>
        <w:tc>
          <w:tcPr>
            <w:tcW w:type="dxa" w:w="1800"/>
          </w:tcPr>
          <w:p>
            <w:r>
              <w:t xml:space="preserve">амперметр / токовые клещи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Уровень вибрации корпуса насоса</w:t>
            </w:r>
          </w:p>
        </w:tc>
        <w:tc>
          <w:tcPr>
            <w:tcW w:type="dxa" w:w="1800"/>
          </w:tcPr>
          <w:p>
            <w:r>
              <w:t xml:space="preserve">не выше общепринятых норм для роторного оборудования данного класса (требует уточнения по факт. паспорту)</w:t>
            </w:r>
          </w:p>
        </w:tc>
        <w:tc>
          <w:tcPr>
            <w:tcW w:type="dxa" w:w="1800"/>
          </w:tcPr>
          <w:p>
            <w:r>
              <w:t xml:space="preserve">общепринятая отраслевая практика виброконтроля</w:t>
            </w:r>
          </w:p>
        </w:tc>
        <w:tc>
          <w:tcPr>
            <w:tcW w:type="dxa" w:w="1800"/>
          </w:tcPr>
          <w:p>
            <w:r>
              <w:t xml:space="preserve">виброметр</w:t>
            </w:r>
          </w:p>
        </w:tc>
        <w:tc>
          <w:tcPr>
            <w:tcW w:type="dxa" w:w="1800"/>
          </w:tcPr>
          <w:p>
            <w:r>
              <w:t xml:space="preserve">ежемесячно</w:t>
            </w:r>
          </w:p>
        </w:tc>
      </w:tr>
      <w:tr>
        <w:tc>
          <w:tcPr>
            <w:tcW w:type="dxa" w:w="1800"/>
          </w:tcPr>
          <w:p>
            <w:r>
              <w:t xml:space="preserve">Сопротивление изоляции обмотки двигателя</w:t>
            </w:r>
          </w:p>
        </w:tc>
        <w:tc>
          <w:tcPr>
            <w:tcW w:type="dxa" w:w="1800"/>
          </w:tcPr>
          <w:p>
            <w:r>
              <w:t xml:space="preserve">не ниже общепринятого минимального значения для электродвигателей данного класса напряжения</w:t>
            </w:r>
          </w:p>
        </w:tc>
        <w:tc>
          <w:tcPr>
            <w:tcW w:type="dxa" w:w="1800"/>
          </w:tcPr>
          <w:p>
            <w:r>
              <w:t xml:space="preserve">общепринятая норма электробезопасности</w:t>
            </w:r>
          </w:p>
        </w:tc>
        <w:tc>
          <w:tcPr>
            <w:tcW w:type="dxa" w:w="1800"/>
          </w:tcPr>
          <w:p>
            <w:r>
              <w:t xml:space="preserve">мегаомметр</w:t>
            </w:r>
          </w:p>
        </w:tc>
        <w:tc>
          <w:tcPr>
            <w:tcW w:type="dxa" w:w="1800"/>
          </w:tcPr>
          <w:p>
            <w:r>
              <w:t xml:space="preserve">раз в квартал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потребляемого тока при неизменном режиме работы — признак износа подшипников или заклинивания ротора.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напора при неизменной частоте вращения — признак износа рабочего колеса или кавитации.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Повышенная вибрация корпуса — признак дисбаланса ротора или износа подшипников (см. 10_Каталог_неисправностей).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сопротивления изоляции — риск повреждения обмотки, требует немедленной проверки специалистом по электрооборудованию.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напора, потребляемого тока и (при наличии прибора) уровня вибрации.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Сравнить показания с паспортной характеристикой насоса и электродвигателя.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— выполнить внешний осмотр насоса на предмет протечек, посторонних шумов, перегрева корпуса.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подозрении на повреждение изоляции — привлечь специалиста по электрооборудованию для измерения сопротивления изоляции.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ЭНЦ-003 — Принципы работы центробежных насосов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насосного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замене подшипников и балансировке ротора.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СТД-002 — диагностика водогрейных котлов (смежный узел системы).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2026-07-10T02:40:17.647Z</dcterms:created>
  <dcterms:modified xsi:type="dcterms:W3CDTF">2026-07-10T02:40:17.647Z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