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КЕЙС-001. Рост перепада давления на теплообменнике (иллюстративный пример)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КЕЙС-001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(иллюстративный, 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13_Кейсы_объектов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иллюстративный пример на основе СТД/Каталога неисправностей/Типовых решений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это иллюстративный пример кейса (без привязки к реальному объекту), демонстрирующий полный цикл «признак → диагностика по СТД → неисправность по каталогу → типовое решение». Реальный кейс должен содержать фактические данные конкретного объекта, даты, показания приборов и Ф.И.О./должность исполнителя.</w:t>
      </w:r>
    </w:p>
    <w:p>
      <w:pPr>
        <w:pStyle w:val="Heading1"/>
        <w:spacing w:after="120" w:before="200"/>
      </w:pPr>
      <w:r>
        <w:t xml:space="preserve">1. Исходная ситуация</w:t>
      </w:r>
    </w:p>
    <w:p>
      <w:pPr>
        <w:spacing w:after="120"/>
        <w:jc w:val="both"/>
      </w:pPr>
      <w:r>
        <w:t xml:space="preserve">[ОБЪЕКТ]: [ЗАПОЛНЯЕТСЯ ПРИ РЕАЛЬНОМ КЕЙСЕ]. Теплообменный аппарат (пластинчатый) в составе теплового пункта эксплуатируется в штатном режиме. Плановая промывка (РГЛ-001) в последний раз выполнялась 8 месяцев назад.</w:t>
      </w:r>
    </w:p>
    <w:p>
      <w:pPr>
        <w:pStyle w:val="Heading1"/>
        <w:spacing w:after="120" w:before="200"/>
      </w:pPr>
      <w:r>
        <w:t xml:space="preserve">2. Проявление неисправности</w:t>
      </w:r>
    </w:p>
    <w:p>
      <w:pPr>
        <w:spacing w:after="120"/>
        <w:jc w:val="both"/>
      </w:pPr>
      <w:r>
        <w:t xml:space="preserve">При ежесменном контроле параметров (СТД-001) оператор зафиксировал постепенный рост перепада давления на аппарате при неизменном расходе теплоносителя, начиная примерно за 3 недели до текущей проверки. Температура на выходе аппарата оставалась в пределах нормы.</w:t>
      </w:r>
    </w:p>
    <w:p>
      <w:pPr>
        <w:pStyle w:val="Heading1"/>
        <w:spacing w:after="120" w:before="200"/>
      </w:pPr>
      <w:r>
        <w:t xml:space="preserve">3. Диагностика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Сняты текущие показания температур и давлений на входе/выходе аппарата (СТД-001, раздел 4, шаг 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Перепад давления превысил паспортное значение более чем на 20% — критерий отклонения по СТД-001, раздел 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Рассчитана текущая тепловая мощность — в пределах нормы (не менее 90% от проектной), что указывает на отсутствие выраженного снижения теплопередачи на момент проверки.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Признак сопоставлен с каталогом неисправностей: НСП-001 «Загрязнение теплообменной поверхности» (10_Каталог_неисправностей) — рост перепада давления при нормальной температуре указан как типичный ранний признак этой неисправности.</w:t>
      </w:r>
    </w:p>
    <w:p>
      <w:pPr>
        <w:pStyle w:val="Heading1"/>
        <w:spacing w:after="120" w:before="200"/>
      </w:pPr>
      <w:r>
        <w:t xml:space="preserve">4. Решение и результат</w:t>
      </w:r>
    </w:p>
    <w:p>
      <w:pPr>
        <w:spacing w:after="120"/>
        <w:jc w:val="both"/>
      </w:pPr>
      <w:r>
        <w:t xml:space="preserve">Выполнена внеплановая промывка теплообменных пластин по типовому решению РЕШ-001 (12_Типовые_решения), вне графика планового обслуживания РГЛ-001. После промывки и сборки аппарата перепад давления вернулся в пределы нормы.</w:t>
      </w:r>
    </w:p>
    <w:p>
      <w:pPr>
        <w:pStyle w:val="Heading1"/>
        <w:spacing w:after="120" w:before="200"/>
      </w:pPr>
      <w:r>
        <w:t xml:space="preserve">5. Извлечённые уроки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Рост перепада давления при нормальной температуре — самостоятельный повод для внеплановой промывки, не нужно дожидаться одновременного снижения тепловой мощности.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Плановая периодичность промывки (6–12 месяцев по РГЛ-001) для данного качества теплоносителя объекта может оказаться избыточно долгой — рекомендуется рассмотреть сокращение интервала после накопления нескольких подобных случаев.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2026-07-10T02:35:24.822Z</dcterms:created>
  <dcterms:modified xsi:type="dcterms:W3CDTF">2026-07-10T02:35:24.836Z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