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КЕЙС-002. Посторонний шум и снижение напора циркуляционного насоса (иллюстративный пример)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КЕЙС-002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Пример (иллюстративный, не привязан к реальному объекту)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13_Кейсы_объектов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иллюстративный пример на основе СТД/Каталога неисправностей/Типовых решений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это иллюстративный пример кейса (без привязки к реальному объекту), демонстрирующий полный цикл «признак → диагностика по СТД → неисправность по каталогу → типовое решение». Реальный кейс должен содержать фактические данные конкретного объекта, даты, показания приборов и Ф.И.О./должность исполнителя.</w:t>
      </w:r>
    </w:p>
    <w:p>
      <w:pPr>
        <w:pStyle w:val="Heading1"/>
        <w:spacing w:after="120" w:before="200"/>
      </w:pPr>
      <w:r>
        <w:t xml:space="preserve">1. Исходная ситуация</w:t>
      </w:r>
    </w:p>
    <w:p>
      <w:pPr>
        <w:spacing w:after="120"/>
        <w:jc w:val="both"/>
      </w:pPr>
      <w:r>
        <w:t xml:space="preserve">[ОБЪЕКТ]: [ЗАПОЛНЯЕТСЯ ПРИ РЕАЛЬНОМ КЕЙСЕ]. Циркуляционный насос запущен по ИНС-001 после планового обслуживания.</w:t>
      </w:r>
    </w:p>
    <w:p>
      <w:pPr>
        <w:pStyle w:val="Heading1"/>
        <w:spacing w:after="120" w:before="200"/>
      </w:pPr>
      <w:r>
        <w:t xml:space="preserve">2. Проявление неисправности</w:t>
      </w:r>
    </w:p>
    <w:p>
      <w:pPr>
        <w:spacing w:after="120"/>
        <w:jc w:val="both"/>
      </w:pPr>
      <w:r>
        <w:t xml:space="preserve">В течение первых минут работы после запуска (ИНС-001, раздел 3, шаг 5) зафиксирован посторонний «потрескивающий» шум и повышенная вибрация корпуса насоса. Ток электродвигателя оставался в пределах номинального значения.</w:t>
      </w:r>
    </w:p>
    <w:p>
      <w:pPr>
        <w:pStyle w:val="Heading1"/>
        <w:spacing w:after="120" w:before="200"/>
      </w:pPr>
      <w:r>
        <w:t xml:space="preserve">3. Диагностика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Снят замер напора насоса — обнаружено снижение относительно паспортной характеристики при неизменной частоте вращения (СТД-003, раздел 3).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Признак сопоставлен с каталогом неисправностей: НСП-005 «Кавитация» (10_Каталог_неисправностей) — характерное сочетание постороннего шума, вибрации и снижения напора при нормальном токе электродвигателя.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Физическое объяснение — ЭНЦ-003: образование и схлопывание пузырьков пара в зоне пониженного давления на входе в рабочее колесо.</w:t>
      </w:r>
    </w:p>
    <w:p>
      <w:pPr>
        <w:pStyle w:val="Heading1"/>
        <w:spacing w:after="120" w:before="200"/>
      </w:pPr>
      <w:r>
        <w:t xml:space="preserve">4. Решение и результат</w:t>
      </w:r>
    </w:p>
    <w:p>
      <w:pPr>
        <w:spacing w:after="120"/>
        <w:jc w:val="both"/>
      </w:pPr>
      <w:r>
        <w:t xml:space="preserve">Выполнена проверка условий на всасывании насоса по типовому решению РЕШ-005 (12_Типовые_решения): обнаружено частичное засорение всасывающего трубопровода, повышающее его гидравлическое сопротивление. После устранения засора шум и вибрация прекратились, напор восстановился до паспортного значения.</w:t>
      </w:r>
    </w:p>
    <w:p>
      <w:pPr>
        <w:pStyle w:val="Heading1"/>
        <w:spacing w:after="120" w:before="200"/>
      </w:pPr>
      <w:r>
        <w:t xml:space="preserve">5. Извлечённые уроки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Контроль вибрации в первые минуты после запуска (ИНС-001) оказался эффективным способом раннего обнаружения кавитации, до значимого эрозионного повреждения рабочего колеса.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Этот случай — кандидат на добавление в раздел «Типичные ошибки» ИНС-001 (документ пока в статусе «На редакции», см. 20_На_редакции) — реальный опыт эксплуатации, которого требовал промпт ПРМ-005 при формировании черновика.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2026-07-10T02:35:25.017Z</dcterms:created>
  <dcterms:modified xsi:type="dcterms:W3CDTF">2026-07-10T02:35:25.017Z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