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РГЛ-001. Регламент планового обслуживания теплообменных аппаратов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Регламент обслуживания (сформирован в Режиме Б — по открытым данным)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РГЛ-001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02_Регламенты_РГЛ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09.07.2026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(ChatGPT, Режим Б — открытые данные), промпт ПРМ-003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⚠ Предупреждение</w:t>
      </w:r>
    </w:p>
    <w:p>
      <w:pPr>
        <w:spacing w:after="120"/>
        <w:jc w:val="both"/>
      </w:pPr>
      <w:r>
        <w:t xml:space="preserve">ВНИМАНИЕ: документ составлен по открытым данным (общепринятая инженерная практика планового обслуживания, типовая эксплуатационная документация производителей) без привязки к конкретному узлу объекта — сформирован промптом ПРМ-003 (Режим Б, ChatGPT). Периодичность и объём работ — типовые, ТРЕБУЮТ ПРОВЕРКИ И ПРИВЯЗКИ К ФАКТИЧЕСКОМУ ОБОРУДОВАНИЮ ОБЪЕКТА ответственным за раздел перед использованием в реальной эксплуатации. Раздел «Требования безопасности» ДОПОЛНИТЕЛЬНО требует проверки специалистом по охране труда — ни при каких условиях не публикуется и не используется без такой проверки (см. КП-002, КП-003).</w:t>
      </w:r>
    </w:p>
    <w:p>
      <w:pPr>
        <w:pStyle w:val="Heading1"/>
        <w:spacing w:after="120" w:before="200"/>
      </w:pPr>
      <w:r>
        <w:t xml:space="preserve">1. Область применения</w:t>
      </w:r>
    </w:p>
    <w:p>
      <w:pPr>
        <w:spacing w:after="120"/>
        <w:jc w:val="both"/>
      </w:pPr>
      <w:r>
        <w:t xml:space="preserve">Регламент применяется при плановом обслуживании кожухотрубных и пластинчатых теплообменных аппаратов в составе тепловых пунктов и котельных (смежный документ — СТД-001 «Диагностика теплообменных аппаратов»).</w:t>
      </w:r>
    </w:p>
    <w:p>
      <w:pPr>
        <w:pStyle w:val="Heading1"/>
        <w:spacing w:after="120" w:before="200"/>
      </w:pPr>
      <w:r>
        <w:t xml:space="preserve">2. Периодичность обслуживания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Операция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Периодичность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Источник нормы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Исполнитель</w:t>
            </w:r>
          </w:p>
        </w:tc>
      </w:tr>
      <w:tr>
        <w:tc>
          <w:tcPr>
            <w:tcW w:type="dxa" w:w="2250"/>
          </w:tcPr>
          <w:p>
            <w:r>
              <w:t xml:space="preserve">Визуальный осмотр корпуса и фланцевых соединений на предмет протечек</w:t>
            </w:r>
          </w:p>
        </w:tc>
        <w:tc>
          <w:tcPr>
            <w:tcW w:type="dxa" w:w="2250"/>
          </w:tcPr>
          <w:p>
            <w:r>
              <w:t xml:space="preserve">ежесменно</w:t>
            </w:r>
          </w:p>
        </w:tc>
        <w:tc>
          <w:tcPr>
            <w:tcW w:type="dxa" w:w="2250"/>
          </w:tcPr>
          <w:p>
            <w:r>
              <w:t xml:space="preserve">общепринятая отраслевая практика</w:t>
            </w:r>
          </w:p>
        </w:tc>
        <w:tc>
          <w:tcPr>
            <w:tcW w:type="dxa" w:w="2250"/>
          </w:tcPr>
          <w:p>
            <w:r>
              <w:t xml:space="preserve">оператор теплового пункта</w:t>
            </w:r>
          </w:p>
        </w:tc>
      </w:tr>
      <w:tr>
        <w:tc>
          <w:tcPr>
            <w:tcW w:type="dxa" w:w="2250"/>
          </w:tcPr>
          <w:p>
            <w:r>
              <w:t xml:space="preserve">Контроль перепада давления и температур (сверка с СТД-001)</w:t>
            </w:r>
          </w:p>
        </w:tc>
        <w:tc>
          <w:tcPr>
            <w:tcW w:type="dxa" w:w="2250"/>
          </w:tcPr>
          <w:p>
            <w:r>
              <w:t xml:space="preserve">ежесменно</w:t>
            </w:r>
          </w:p>
        </w:tc>
        <w:tc>
          <w:tcPr>
            <w:tcW w:type="dxa" w:w="2250"/>
          </w:tcPr>
          <w:p>
            <w:r>
              <w:t xml:space="preserve">общепринятая отраслевая практика</w:t>
            </w:r>
          </w:p>
        </w:tc>
        <w:tc>
          <w:tcPr>
            <w:tcW w:type="dxa" w:w="2250"/>
          </w:tcPr>
          <w:p>
            <w:r>
              <w:t xml:space="preserve">оператор теплового пункта</w:t>
            </w:r>
          </w:p>
        </w:tc>
      </w:tr>
      <w:tr>
        <w:tc>
          <w:tcPr>
            <w:tcW w:type="dxa" w:w="2250"/>
          </w:tcPr>
          <w:p>
            <w:r>
              <w:t xml:space="preserve">Промывка теплообменных пластин/трубок от накипи и загрязнений</w:t>
            </w:r>
          </w:p>
        </w:tc>
        <w:tc>
          <w:tcPr>
            <w:tcW w:type="dxa" w:w="2250"/>
          </w:tcPr>
          <w:p>
            <w:r>
              <w:t xml:space="preserve">1 раз в 6–12 месяцев (уточняется по фактическому качеству теплоносителя)</w:t>
            </w:r>
          </w:p>
        </w:tc>
        <w:tc>
          <w:tcPr>
            <w:tcW w:type="dxa" w:w="2250"/>
          </w:tcPr>
          <w:p>
            <w:r>
              <w:t xml:space="preserve">типовая практика обслуживания теплообменного оборудования</w:t>
            </w:r>
          </w:p>
        </w:tc>
        <w:tc>
          <w:tcPr>
            <w:tcW w:type="dxa" w:w="2250"/>
          </w:tcPr>
          <w:p>
            <w:r>
              <w:t xml:space="preserve">слесарь по обслуживанию теплотехнического оборудования</w:t>
            </w:r>
          </w:p>
        </w:tc>
      </w:tr>
      <w:tr>
        <w:tc>
          <w:tcPr>
            <w:tcW w:type="dxa" w:w="2250"/>
          </w:tcPr>
          <w:p>
            <w:r>
              <w:t xml:space="preserve">Проверка герметичности прокладок и фланцевых соединений с протяжкой крепежа</w:t>
            </w:r>
          </w:p>
        </w:tc>
        <w:tc>
          <w:tcPr>
            <w:tcW w:type="dxa" w:w="2250"/>
          </w:tcPr>
          <w:p>
            <w:r>
              <w:t xml:space="preserve">1 раз в 12 месяцев</w:t>
            </w:r>
          </w:p>
        </w:tc>
        <w:tc>
          <w:tcPr>
            <w:tcW w:type="dxa" w:w="2250"/>
          </w:tcPr>
          <w:p>
            <w:r>
              <w:t xml:space="preserve">типовая эксплуатационная документация производителей</w:t>
            </w:r>
          </w:p>
        </w:tc>
        <w:tc>
          <w:tcPr>
            <w:tcW w:type="dxa" w:w="2250"/>
          </w:tcPr>
          <w:p>
            <w:r>
              <w:t xml:space="preserve">слесарь по обслуживанию теплотехнического оборудования</w:t>
            </w:r>
          </w:p>
        </w:tc>
      </w:tr>
      <w:tr>
        <w:tc>
          <w:tcPr>
            <w:tcW w:type="dxa" w:w="2250"/>
          </w:tcPr>
          <w:p>
            <w:r>
              <w:t xml:space="preserve">Полная ревизия аппарата с частичной разборкой</w:t>
            </w:r>
          </w:p>
        </w:tc>
        <w:tc>
          <w:tcPr>
            <w:tcW w:type="dxa" w:w="2250"/>
          </w:tcPr>
          <w:p>
            <w:r>
              <w:t xml:space="preserve">1 раз в 3–5 лет (уточняется по паспорту)</w:t>
            </w:r>
          </w:p>
        </w:tc>
        <w:tc>
          <w:tcPr>
            <w:tcW w:type="dxa" w:w="2250"/>
          </w:tcPr>
          <w:p>
            <w:r>
              <w:t xml:space="preserve">типовая практика капитального обслуживания</w:t>
            </w:r>
          </w:p>
        </w:tc>
        <w:tc>
          <w:tcPr>
            <w:tcW w:type="dxa" w:w="2250"/>
          </w:tcPr>
          <w:p>
            <w:r>
              <w:t xml:space="preserve">специализированная бригада / подрядчик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Порядок выполнения работ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Подготовка: отключить аппарат от контура, сбросить давление, убедиться в отсутствии остаточного тепла теплоносителя, вывесить предупреждающие знаки согласно нарядной системе объекта.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Основные операции: выполнить осмотр/промывку/ревизию согласно графику раздела 2, с фиксацией фактического состояния теплообменных поверхностей.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Контроль результата: после сборки — проверить герметичность под рабочим давлением, снять контрольные показания температур и перепада давления, сравнить с нормами СТД-001.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Зафиксировать выполненные работы в карточке оборудования (08_Карточки_оборудования).</w:t>
      </w:r>
    </w:p>
    <w:p>
      <w:pPr>
        <w:pStyle w:val="Heading1"/>
        <w:spacing w:after="120" w:before="200"/>
      </w:pPr>
      <w:r>
        <w:t xml:space="preserve">4. Требования безопасности</w:t>
      </w:r>
    </w:p>
    <w:p>
      <w:pPr>
        <w:spacing w:after="120"/>
        <w:jc w:val="both"/>
      </w:pPr>
      <w:r>
        <w:t xml:space="preserve">ТРЕБУЕТ ПРОВЕРКИ СПЕЦИАЛИСТОМ ПО ОХРАНЕ ТРУДА ПЕРЕД ИСПОЛЬЗОВАНИЕМ.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Работы на аппарате под давлением выполняются только после полного сброса давления и отключения от контура согласно нарядной системе объекта.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При работе с горячим теплоносителем — использование средств защиты от термических ожогов (термостойкие перчатки, спецодежда).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Разборка аппарата — не менее чем двумя исполнителями, с оформлением наряда-допуска на работы повышенной опасности.</w:t>
      </w:r>
    </w:p>
    <w:p>
      <w:pPr>
        <w:pStyle w:val="Heading1"/>
        <w:spacing w:after="120" w:before="200"/>
      </w:pPr>
      <w:r>
        <w:t xml:space="preserve">5. Используемые материалы и инструмент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Комплект прокладок соответствующего типоразмера (по паспорту аппарата).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Моющие средства для удаления накипи, совместимые с материалом теплообменных поверхностей.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Стандартный слесарный инструмент, динамометрический ключ для протяжки фланцевых соединений.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Средства индивидуальной защиты согласно разделу 4.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2026-07-09T03:19:04.663Z</dcterms:created>
  <dcterms:modified xsi:type="dcterms:W3CDTF">2026-07-09T03:19:04.676Z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