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ИНС-001. Порядок запуска циркуляционного насоса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Инструкция для персонала (сформирована в Режиме Б — по открытым данным)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ИНС-001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0.9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03_Инструкции_ИНС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(ChatGPT, Режим Б — открытые данные), промпт ПРМ-005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инструкция составлена по общей отраслевой практике без привязки к конкретному оборудованию и процедурам объекта — сформирована промптом ПРМ-005 (Режим Б, ChatGPT). ТРЕБУЕТ ПРОВЕРКИ И АДАПТАЦИИ К ФАКТИЧЕСКОМУ ОБОРУДОВАНИЮ И ПРИНЯТЫМ НА ОБЪЕКТЕ ПРОЦЕДУРАМ ПЕРЕД УТВЕРЖДЕНИЕМ. Раздел «Необходимые условия» ДОПОЛНИТЕЛЬНО требует проверки специалистом по охране труда (см. КП-002, КП-003).</w:t>
      </w:r>
    </w:p>
    <w:p>
      <w:pPr>
        <w:pStyle w:val="Heading1"/>
        <w:spacing w:after="120" w:before="200"/>
      </w:pPr>
      <w:r>
        <w:t xml:space="preserve">1. Назначение инструкции</w:t>
      </w:r>
    </w:p>
    <w:p>
      <w:pPr>
        <w:spacing w:after="120"/>
        <w:jc w:val="both"/>
      </w:pPr>
      <w:r>
        <w:t xml:space="preserve">Инструкция описывает порядок безопасного запуска циркуляционного насоса системы отопления или горячего водоснабжения после ремонта, планового обслуживания или после остановки по любой причине. Смежный документ — СТД-003 «Диагностика циркуляционных насосов».</w:t>
      </w:r>
    </w:p>
    <w:p>
      <w:pPr>
        <w:pStyle w:val="Heading1"/>
        <w:spacing w:after="120" w:before="200"/>
      </w:pPr>
      <w:r>
        <w:t xml:space="preserve">2. Необходимые условия</w:t>
      </w:r>
    </w:p>
    <w:p>
      <w:pPr>
        <w:spacing w:after="120"/>
        <w:jc w:val="both"/>
      </w:pPr>
      <w:r>
        <w:t xml:space="preserve">ТРЕБУЕТ ПРОВЕРКИ СПЕЦИАЛИСТОМ ПО ОХРАНЕ ТРУДА.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Допуск: персонал, прошедший инструктаж по эксплуатации насосного и электрооборудования теплового пункта.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Инструмент: не требуется, если запуск выполняется штатными органами управления.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Средства защиты: согласно общим требованиям при работе в тепловом пункте (спецодежда, при необходимости — средства защиты слуха вблизи работающего насоса).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Убедиться, что система заполнена теплоносителем и воздух из контура удалён (иначе возможна работа «всухую» и повреждение насоса).</w:t>
      </w:r>
    </w:p>
    <w:p>
      <w:pPr>
        <w:pStyle w:val="Heading1"/>
        <w:spacing w:after="120" w:before="200"/>
      </w:pPr>
      <w:r>
        <w:t xml:space="preserve">3. Пошаговые действия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Убедитесь, что запорная арматура на входе и выходе насоса открыта.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Проверьте отсутствие посторонних предметов и блокировок вращения на муфте насоса (при наличии открытого доступа).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Проверьте наличие напряжения на клеммах электродвигателя и отсутствие аварийных сигналов на панели управления.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Включите насос штатным органом управления (кнопка / автоматика теплового пункта).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В течение первых 1-2 минут работы контролируйте показания тока электродвигателя и отсутствие посторонних шумов и вибрации.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Проверьте появление расчётного перепада давления (напора) на насосе — сверьте с нормой из СТД-003.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Зафиксируйте факт запуска и контрольные параметры в карточке оборудования (08_Карточки_оборудования).</w:t>
      </w:r>
    </w:p>
    <w:p>
      <w:pPr>
        <w:pStyle w:val="Heading1"/>
        <w:spacing w:after="120" w:before="200"/>
      </w:pPr>
      <w:r>
        <w:t xml:space="preserve">4. Типичные ошибки</w:t>
      </w:r>
    </w:p>
    <w:p>
      <w:pPr>
        <w:spacing w:after="120"/>
        <w:jc w:val="both"/>
      </w:pPr>
      <w:r>
        <w:t xml:space="preserve">[ЗАПОЛНЯЕТСЯ НА ОСНОВЕ РЕАЛЬНОГО ОПЫТА ЭКСПЛУАТАЦИИ] — типичные ошибки для конкретного объекта нельзя обоснованно взять из открытых источников; раздел должен быть заполнен ответственным за раздел на основе практики персонала перед переводом документа в статус «Утверждено» для реальной эксплуатации.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2026-07-09T07:59:21.364Z</dcterms:created>
  <dcterms:modified xsi:type="dcterms:W3CDTF">2026-07-09T07:59:21.376Z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