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СТД-004. Диагностика электрических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12.07.2026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электрических котлов отопления (с трубчатыми электронагревателями — ТЭН, либо электродного типа) в составе тепловых пунктов и локальных систем отопления. В отличие от котлов на газообразном/жидком топливе (СТД-002), у электрических котлов отсутствует процесс горения, поэтому контролируемые параметры и признаки отклонений принципиально иные.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225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2250"/>
          </w:tcPr>
          <w:p>
            <w:r>
              <w:t xml:space="preserve">70–90 °C (уточняется по паспорту)</w:t>
            </w:r>
          </w:p>
        </w:tc>
        <w:tc>
          <w:tcPr>
            <w:tcW w:type="dxa" w:w="225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2250"/>
          </w:tcPr>
          <w:p>
            <w:r>
              <w:t xml:space="preserve">непрерывно</w:t>
            </w:r>
          </w:p>
        </w:tc>
      </w:tr>
      <w:tr>
        <w:tc>
          <w:tcPr>
            <w:tcW w:type="dxa" w:w="2250"/>
          </w:tcPr>
          <w:p>
            <w:r>
              <w:t xml:space="preserve">Потребляемая мощность / ток по фазам</w:t>
            </w:r>
          </w:p>
        </w:tc>
        <w:tc>
          <w:tcPr>
            <w:tcW w:type="dxa" w:w="2250"/>
          </w:tcPr>
          <w:p>
            <w:r>
              <w:t xml:space="preserve">не выше номинальной по паспорту, отклонение между фазами не более 10%</w:t>
            </w:r>
          </w:p>
        </w:tc>
        <w:tc>
          <w:tcPr>
            <w:tcW w:type="dxa" w:w="2250"/>
          </w:tcPr>
          <w:p>
            <w:r>
              <w:t xml:space="preserve">токовые клещи / встроенные приборы учёта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</w:tr>
      <w:tr>
        <w:tc>
          <w:tcPr>
            <w:tcW w:type="dxa" w:w="2250"/>
          </w:tcPr>
          <w:p>
            <w:r>
              <w:t xml:space="preserve">Сопротивление изоляции ТЭН относительно корпуса</w:t>
            </w:r>
          </w:p>
        </w:tc>
        <w:tc>
          <w:tcPr>
            <w:tcW w:type="dxa" w:w="2250"/>
          </w:tcPr>
          <w:p>
            <w:r>
              <w:t xml:space="preserve">не ниже общепринятого минимального значения для нагревательных элементов данного класса напряжения</w:t>
            </w:r>
          </w:p>
        </w:tc>
        <w:tc>
          <w:tcPr>
            <w:tcW w:type="dxa" w:w="2250"/>
          </w:tcPr>
          <w:p>
            <w:r>
              <w:t xml:space="preserve">мегаомметр</w:t>
            </w:r>
          </w:p>
        </w:tc>
        <w:tc>
          <w:tcPr>
            <w:tcW w:type="dxa" w:w="2250"/>
          </w:tcPr>
          <w:p>
            <w:r>
              <w:t xml:space="preserve">раз в квартал</w:t>
            </w:r>
          </w:p>
        </w:tc>
      </w:tr>
      <w:tr>
        <w:tc>
          <w:tcPr>
            <w:tcW w:type="dxa" w:w="2250"/>
          </w:tcPr>
          <w:p>
            <w:r>
              <w:t xml:space="preserve">Время выхода на рабочую температуру</w:t>
            </w:r>
          </w:p>
        </w:tc>
        <w:tc>
          <w:tcPr>
            <w:tcW w:type="dxa" w:w="2250"/>
          </w:tcPr>
          <w:p>
            <w:r>
              <w:t xml:space="preserve">в пределах паспортного расчёта ±15%</w:t>
            </w:r>
          </w:p>
        </w:tc>
        <w:tc>
          <w:tcPr>
            <w:tcW w:type="dxa" w:w="2250"/>
          </w:tcPr>
          <w:p>
            <w:r>
              <w:t xml:space="preserve">по времени с момента включения</w:t>
            </w:r>
          </w:p>
        </w:tc>
        <w:tc>
          <w:tcPr>
            <w:tcW w:type="dxa" w:w="2250"/>
          </w:tcPr>
          <w:p>
            <w:r>
              <w:t xml:space="preserve">при плановой проверке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времени выхода на рабочую температуру при неизменной мощности — признак накипеобразования на поверхности ТЭН (см. 10_Каталог_неисправностей, класс «Накипеобразование на ТЭН»).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Несимметричная нагрузка по фазам (для трёхфазных котлов) — признак частичного выхода из строя одной из ступеней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Срабатывание УЗО (устройства защитного отключения) при включении — признак утечки тока из-за повреждения изоляции ТЭН, требует немедленного отключения и проверки специалистом по электрооборудованию.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Резкое кратковременное падение сопротивления изоляции — ранний признак начинающегося пробоя изоляции нагревательного элемента.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на выходе, тока по фазам и времени выхода на рабочий режим.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Сравнить с паспортными значениями; при отклонении по времени выхода на температуру — заподозрить накипеобразование.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подозрении на утечку тока — НЕМЕДЛЕННО отключить котёл и передать специалисту по электрооборудованию для измерения сопротивления изоляции; не предпринимать попыток повторного включения до выяснения причины.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ЭНЦ-004 — Электронагрев и накипеобразование на ТЭН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электрокотлового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очистке/замене ТЭН.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РГЛ-004 — Регламент планового обслуживания электрических котлов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котлов на газообразном/жидком топливе (для сравнения принципов диагностики котельного оборудования разных типов).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2026-07-12T14:13:23.806Z</dcterms:created>
  <dcterms:modified xsi:type="dcterms:W3CDTF">2026-07-12T14:13:23.824Z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