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РГЛ-004. Регламент планового обслуживания электрических котлов</w:t>
      </w:r>
    </w:p>
    <w:p>
      <w:pPr>
        <w:spacing w:after="300"/>
      </w:pPr>
      <w:r>
        <w:rPr>
          <w:i/>
          <w:iCs/>
          <w:sz w:val="26"/>
          <w:szCs w:val="26"/>
        </w:rPr>
        <w:t xml:space="preserve">Регламент обслуживания (сформирован в Режиме Б — по открытым данным)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Код</w:t>
            </w:r>
          </w:p>
        </w:tc>
        <w:tc>
          <w:tcPr>
            <w:tcW w:type="dxa" w:w="6000"/>
          </w:tcPr>
          <w:p>
            <w:r>
              <w:t xml:space="preserve">РГЛ-004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Версия</w:t>
            </w:r>
          </w:p>
        </w:tc>
        <w:tc>
          <w:tcPr>
            <w:tcW w:type="dxa" w:w="6000"/>
          </w:tcPr>
          <w:p>
            <w:r>
              <w:t xml:space="preserve">1.0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6000"/>
          </w:tcPr>
          <w:p>
            <w:r>
              <w:t xml:space="preserve">Утверждено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Ответственный</w:t>
            </w:r>
          </w:p>
        </w:tc>
        <w:tc>
          <w:tcPr>
            <w:tcW w:type="dxa" w:w="6000"/>
          </w:tcPr>
          <w:p>
            <w:r>
              <w:t xml:space="preserve">Редактор раздела 02_Регламенты_РГЛ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dxa" w:w="6000"/>
          </w:tcPr>
          <w:p>
            <w:r>
              <w:t xml:space="preserve">12.07.2026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tcW w:type="dxa" w:w="6000"/>
          </w:tcPr>
          <w:p>
            <w:r>
              <w:t xml:space="preserve">ИИ (ChatGPT, Режим Б — открытые данные), промпт ПРМ-003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t xml:space="preserve">⚠ Предупреждение</w:t>
      </w:r>
    </w:p>
    <w:p>
      <w:pPr>
        <w:spacing w:after="120"/>
        <w:jc w:val="both"/>
      </w:pPr>
      <w:r>
        <w:t xml:space="preserve">ВНИМАНИЕ: документ составлен по открытым данным (общепринятая инженерная практика планового обслуживания, типовая эксплуатационная документация производителей) без привязки к конкретному узлу объекта — сформирован промптом ПРМ-003 (Режим Б, ChatGPT). Периодичность и объём работ — типовые, ТРЕБУЮТ ПРОВЕРКИ И ПРИВЯЗКИ К ФАКТИЧЕСКОМУ ОБОРУДОВАНИЮ ОБЪЕКТА ответственным за раздел перед использованием в реальной эксплуатации. Раздел «Требования безопасности» ДОПОЛНИТЕЛЬНО требует проверки специалистом по охране труда — ни при каких условиях не публикуется и не используется без такой проверки (см. КП-002, КП-003).</w:t>
      </w:r>
    </w:p>
    <w:p>
      <w:pPr>
        <w:pStyle w:val="Heading1"/>
        <w:spacing w:after="120" w:before="200"/>
      </w:pPr>
      <w:r>
        <w:t xml:space="preserve">1. Область применения</w:t>
      </w:r>
    </w:p>
    <w:p>
      <w:pPr>
        <w:spacing w:after="120"/>
        <w:jc w:val="both"/>
      </w:pPr>
      <w:r>
        <w:t xml:space="preserve">Регламент применяется при плановом обслуживании электрических котлов отопления (ТЭН или электродного типа) в составе тепловых пунктов (смежные документы — СТД-004 «Диагностика электрических котлов», ЭНЦ-004 «Электронагрев и накипеобразование на ТЭН»).</w:t>
      </w:r>
    </w:p>
    <w:p>
      <w:pPr>
        <w:pStyle w:val="Heading1"/>
        <w:spacing w:after="120" w:before="200"/>
      </w:pPr>
      <w:r>
        <w:t xml:space="preserve">2. Периодичность обслуживания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DDE6F0" w:val="clear"/>
          </w:tcPr>
          <w:p>
            <w:r>
              <w:rPr>
                <w:b/>
                <w:bCs/>
              </w:rPr>
              <w:t xml:space="preserve">Операция</w:t>
            </w:r>
          </w:p>
        </w:tc>
        <w:tc>
          <w:tcPr>
            <w:tcW w:type="dxa" w:w="2250"/>
            <w:shd w:fill="DDE6F0" w:val="clear"/>
          </w:tcPr>
          <w:p>
            <w:r>
              <w:rPr>
                <w:b/>
                <w:bCs/>
              </w:rPr>
              <w:t xml:space="preserve">Периодичность</w:t>
            </w:r>
          </w:p>
        </w:tc>
        <w:tc>
          <w:tcPr>
            <w:tcW w:type="dxa" w:w="2250"/>
            <w:shd w:fill="DDE6F0" w:val="clear"/>
          </w:tcPr>
          <w:p>
            <w:r>
              <w:rPr>
                <w:b/>
                <w:bCs/>
              </w:rPr>
              <w:t xml:space="preserve">Источник нормы</w:t>
            </w:r>
          </w:p>
        </w:tc>
        <w:tc>
          <w:tcPr>
            <w:tcW w:type="dxa" w:w="2250"/>
            <w:shd w:fill="DDE6F0" w:val="clear"/>
          </w:tcPr>
          <w:p>
            <w:r>
              <w:rPr>
                <w:b/>
                <w:bCs/>
              </w:rPr>
              <w:t xml:space="preserve">Исполнитель</w:t>
            </w:r>
          </w:p>
        </w:tc>
      </w:tr>
      <w:tr>
        <w:tc>
          <w:tcPr>
            <w:tcW w:type="dxa" w:w="2250"/>
          </w:tcPr>
          <w:p>
            <w:r>
              <w:t xml:space="preserve">Визуальный осмотр котла, клеммных соединений, силовых кабелей</w:t>
            </w:r>
          </w:p>
        </w:tc>
        <w:tc>
          <w:tcPr>
            <w:tcW w:type="dxa" w:w="2250"/>
          </w:tcPr>
          <w:p>
            <w:r>
              <w:t xml:space="preserve">ежесменно</w:t>
            </w:r>
          </w:p>
        </w:tc>
        <w:tc>
          <w:tcPr>
            <w:tcW w:type="dxa" w:w="2250"/>
          </w:tcPr>
          <w:p>
            <w:r>
              <w:t xml:space="preserve">общепринятая отраслевая практика</w:t>
            </w:r>
          </w:p>
        </w:tc>
        <w:tc>
          <w:tcPr>
            <w:tcW w:type="dxa" w:w="2250"/>
          </w:tcPr>
          <w:p>
            <w:r>
              <w:t xml:space="preserve">оператор теплового пункта</w:t>
            </w:r>
          </w:p>
        </w:tc>
      </w:tr>
      <w:tr>
        <w:tc>
          <w:tcPr>
            <w:tcW w:type="dxa" w:w="2250"/>
          </w:tcPr>
          <w:p>
            <w:r>
              <w:t xml:space="preserve">Контроль тока по фазам и температуры на выходе (сверка с СТД-004)</w:t>
            </w:r>
          </w:p>
        </w:tc>
        <w:tc>
          <w:tcPr>
            <w:tcW w:type="dxa" w:w="2250"/>
          </w:tcPr>
          <w:p>
            <w:r>
              <w:t xml:space="preserve">ежесменно</w:t>
            </w:r>
          </w:p>
        </w:tc>
        <w:tc>
          <w:tcPr>
            <w:tcW w:type="dxa" w:w="2250"/>
          </w:tcPr>
          <w:p>
            <w:r>
              <w:t xml:space="preserve">общепринятая отраслевая практика</w:t>
            </w:r>
          </w:p>
        </w:tc>
        <w:tc>
          <w:tcPr>
            <w:tcW w:type="dxa" w:w="2250"/>
          </w:tcPr>
          <w:p>
            <w:r>
              <w:t xml:space="preserve">оператор теплового пункта</w:t>
            </w:r>
          </w:p>
        </w:tc>
      </w:tr>
      <w:tr>
        <w:tc>
          <w:tcPr>
            <w:tcW w:type="dxa" w:w="2250"/>
          </w:tcPr>
          <w:p>
            <w:r>
              <w:t xml:space="preserve">Проверка сопротивления изоляции ТЭН</w:t>
            </w:r>
          </w:p>
        </w:tc>
        <w:tc>
          <w:tcPr>
            <w:tcW w:type="dxa" w:w="2250"/>
          </w:tcPr>
          <w:p>
            <w:r>
              <w:t xml:space="preserve">1 раз в квартал</w:t>
            </w:r>
          </w:p>
        </w:tc>
        <w:tc>
          <w:tcPr>
            <w:tcW w:type="dxa" w:w="2250"/>
          </w:tcPr>
          <w:p>
            <w:r>
              <w:t xml:space="preserve">общепринятая норма электробезопасности</w:t>
            </w:r>
          </w:p>
        </w:tc>
        <w:tc>
          <w:tcPr>
            <w:tcW w:type="dxa" w:w="2250"/>
          </w:tcPr>
          <w:p>
            <w:r>
              <w:t xml:space="preserve">специалист по электрооборудованию</w:t>
            </w:r>
          </w:p>
        </w:tc>
      </w:tr>
      <w:tr>
        <w:tc>
          <w:tcPr>
            <w:tcW w:type="dxa" w:w="2250"/>
          </w:tcPr>
          <w:p>
            <w:r>
              <w:t xml:space="preserve">Проверка и подтяжка контактных соединений, осмотр контакторов/пускателей на подгорание</w:t>
            </w:r>
          </w:p>
        </w:tc>
        <w:tc>
          <w:tcPr>
            <w:tcW w:type="dxa" w:w="2250"/>
          </w:tcPr>
          <w:p>
            <w:r>
              <w:t xml:space="preserve">1 раз в 6 месяцев</w:t>
            </w:r>
          </w:p>
        </w:tc>
        <w:tc>
          <w:tcPr>
            <w:tcW w:type="dxa" w:w="2250"/>
          </w:tcPr>
          <w:p>
            <w:r>
              <w:t xml:space="preserve">типовая эксплуатационная документация производителей</w:t>
            </w:r>
          </w:p>
        </w:tc>
        <w:tc>
          <w:tcPr>
            <w:tcW w:type="dxa" w:w="2250"/>
          </w:tcPr>
          <w:p>
            <w:r>
              <w:t xml:space="preserve">специалист по электрооборудованию</w:t>
            </w:r>
          </w:p>
        </w:tc>
      </w:tr>
      <w:tr>
        <w:tc>
          <w:tcPr>
            <w:tcW w:type="dxa" w:w="2250"/>
          </w:tcPr>
          <w:p>
            <w:r>
              <w:t xml:space="preserve">Очистка ТЭН от накипи (химическая или механическая)</w:t>
            </w:r>
          </w:p>
        </w:tc>
        <w:tc>
          <w:tcPr>
            <w:tcW w:type="dxa" w:w="2250"/>
          </w:tcPr>
          <w:p>
            <w:r>
              <w:t xml:space="preserve">1 раз в 6–12 месяцев (уточняется по фактическому качеству воды)</w:t>
            </w:r>
          </w:p>
        </w:tc>
        <w:tc>
          <w:tcPr>
            <w:tcW w:type="dxa" w:w="2250"/>
          </w:tcPr>
          <w:p>
            <w:r>
              <w:t xml:space="preserve">типовая практика обслуживания электронагревательного оборудования</w:t>
            </w:r>
          </w:p>
        </w:tc>
        <w:tc>
          <w:tcPr>
            <w:tcW w:type="dxa" w:w="2250"/>
          </w:tcPr>
          <w:p>
            <w:r>
              <w:t xml:space="preserve">слесарь по обслуживанию теплотехнического оборудования</w:t>
            </w:r>
          </w:p>
        </w:tc>
      </w:tr>
      <w:tr>
        <w:tc>
          <w:tcPr>
            <w:tcW w:type="dxa" w:w="2250"/>
          </w:tcPr>
          <w:p>
            <w:r>
              <w:t xml:space="preserve">Проверка срабатывания УЗО и защитного заземления</w:t>
            </w:r>
          </w:p>
        </w:tc>
        <w:tc>
          <w:tcPr>
            <w:tcW w:type="dxa" w:w="2250"/>
          </w:tcPr>
          <w:p>
            <w:r>
              <w:t xml:space="preserve">1 раз в квартал</w:t>
            </w:r>
          </w:p>
        </w:tc>
        <w:tc>
          <w:tcPr>
            <w:tcW w:type="dxa" w:w="2250"/>
          </w:tcPr>
          <w:p>
            <w:r>
              <w:t xml:space="preserve">общепринятая норма электробезопасности</w:t>
            </w:r>
          </w:p>
        </w:tc>
        <w:tc>
          <w:tcPr>
            <w:tcW w:type="dxa" w:w="2250"/>
          </w:tcPr>
          <w:p>
            <w:r>
              <w:t xml:space="preserve">специалист по электрооборудованию</w:t>
            </w:r>
          </w:p>
        </w:tc>
      </w:tr>
    </w:tbl>
    <w:p>
      <w:pPr>
        <w:spacing w:after="120"/>
      </w:pPr>
    </w:p>
    <w:p>
      <w:pPr>
        <w:pStyle w:val="Heading1"/>
        <w:spacing w:after="120" w:before="200"/>
      </w:pPr>
      <w:r>
        <w:t xml:space="preserve">3. Порядок выполнения работ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Подготовка: полностью обесточить котёл, убедиться в отсутствии напряжения на клеммах, вывесить предупреждающие знаки согласно нарядной системе объекта.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Основные операции: выполнить осмотр/проверку/очистку согласно графику раздела 2.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Контроль результата: после сборки — проверить сопротивление изоляции перед подачей напряжения, выполнить пробное включение, сравнить контрольные параметры с СТД-004.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Зафиксировать выполненные работы в карточке оборудования (08_Карточки_оборудования).</w:t>
      </w:r>
    </w:p>
    <w:p>
      <w:pPr>
        <w:pStyle w:val="Heading1"/>
        <w:spacing w:after="120" w:before="200"/>
      </w:pPr>
      <w:r>
        <w:t xml:space="preserve">4. Требования безопасности</w:t>
      </w:r>
    </w:p>
    <w:p>
      <w:pPr>
        <w:spacing w:after="120"/>
        <w:jc w:val="both"/>
      </w:pPr>
      <w:r>
        <w:t xml:space="preserve">ТРЕБУЕТ ПРОВЕРКИ СПЕЦИАЛИСТОМ ПО ОХРАНЕ ТРУДА ПЕРЕД ИСПОЛЬЗОВАНИЕМ.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Все работы на электрической части выполняются только персоналом с допуском по электробезопасности, после снятия напряжения и проверки его отсутствия указателем напряжения.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Перед подачей напряжения после обслуживания — обязательная проверка сопротивления изоляции ТЭН.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Запрещается включение котла с неисправным или отключённым УЗО.</w:t>
      </w:r>
    </w:p>
    <w:p>
      <w:pPr>
        <w:pStyle w:val="Heading1"/>
        <w:spacing w:after="120" w:before="200"/>
      </w:pPr>
      <w:r>
        <w:t xml:space="preserve">5. Используемые материалы и инструмент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Средства для химической очистки ТЭН от накипи, совместимые с материалом нагревательного элемента.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Мегаомметр, указатель напряжения, набор электромонтажного инструмента.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Средства индивидуальной защиты согласно разделу 4.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2026-07-12T14:13:24.148Z</dcterms:created>
  <dcterms:modified xsi:type="dcterms:W3CDTF">2026-07-12T14:13:24.148Z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