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РГЛ-005. Регламент планового обслуживания твердотопливных котлов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Регламент обслуживания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РГЛ-005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02_Регламенты_РГЛ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12.07.2026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данные), промпт ПРМ-003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планового обслуживания, типовая эксплуатационная документация производителей) без привязки к конкретному узлу объекта — сформирован промптом ПРМ-003 (Режим Б, ChatGPT). Периодичность и объём работ — типовые, ТРЕБУЮТ ПРОВЕРКИ И ПРИВЯЗКИ К ФАКТИЧЕСКОМУ ОБОРУДОВАНИЮ ОБЪЕКТА ответственным за раздел перед использованием в реальной эксплуатации. Раздел «Требования безопасности» ДОПОЛНИТЕЛЬНО требует проверки специалистом по охране труда — ни при каких условиях не публикуется и не используется без такой проверки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Регламент применяется при плановом обслуживании водогрейных котлов на твёрдом топливе (уголь, дрова, пеллеты) в составе котельных установок тепловых пунктов (смежные документы — СТД-005 «Диагностика твердотопливных котлов», ЭНЦ-005 «Особенности горения твёрдого топлива и тяги»).</w:t>
      </w:r>
    </w:p>
    <w:p>
      <w:pPr>
        <w:pStyle w:val="Heading1"/>
        <w:spacing w:after="120" w:before="200"/>
      </w:pPr>
      <w:r>
        <w:t xml:space="preserve">2. Периодичность обслуживания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Операция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Источник нормы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Исполнитель</w:t>
            </w:r>
          </w:p>
        </w:tc>
      </w:tr>
      <w:tr>
        <w:tc>
          <w:tcPr>
            <w:tcW w:type="dxa" w:w="2250"/>
          </w:tcPr>
          <w:p>
            <w:r>
              <w:t xml:space="preserve">Удаление золы из зольника</w:t>
            </w:r>
          </w:p>
        </w:tc>
        <w:tc>
          <w:tcPr>
            <w:tcW w:type="dxa" w:w="2250"/>
          </w:tcPr>
          <w:p>
            <w:r>
              <w:t xml:space="preserve">ежесменно или по мере накопления</w:t>
            </w:r>
          </w:p>
        </w:tc>
        <w:tc>
          <w:tcPr>
            <w:tcW w:type="dxa" w:w="2250"/>
          </w:tcPr>
          <w:p>
            <w:r>
              <w:t xml:space="preserve">общепринятая отраслевая практика</w:t>
            </w:r>
          </w:p>
        </w:tc>
        <w:tc>
          <w:tcPr>
            <w:tcW w:type="dxa" w:w="2250"/>
          </w:tcPr>
          <w:p>
            <w:r>
              <w:t xml:space="preserve">оператор котельной</w:t>
            </w:r>
          </w:p>
        </w:tc>
      </w:tr>
      <w:tr>
        <w:tc>
          <w:tcPr>
            <w:tcW w:type="dxa" w:w="2250"/>
          </w:tcPr>
          <w:p>
            <w:r>
              <w:t xml:space="preserve">Визуальный осмотр колосниковой решётки на предмет зашлаковывания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  <w:tc>
          <w:tcPr>
            <w:tcW w:type="dxa" w:w="2250"/>
          </w:tcPr>
          <w:p>
            <w:r>
              <w:t xml:space="preserve">общепринятая отраслевая практика</w:t>
            </w:r>
          </w:p>
        </w:tc>
        <w:tc>
          <w:tcPr>
            <w:tcW w:type="dxa" w:w="2250"/>
          </w:tcPr>
          <w:p>
            <w:r>
              <w:t xml:space="preserve">оператор котельной</w:t>
            </w:r>
          </w:p>
        </w:tc>
      </w:tr>
      <w:tr>
        <w:tc>
          <w:tcPr>
            <w:tcW w:type="dxa" w:w="2250"/>
          </w:tcPr>
          <w:p>
            <w:r>
              <w:t xml:space="preserve">Контроль тяги и температуры уходящих газов (сверка с СТД-005)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  <w:tc>
          <w:tcPr>
            <w:tcW w:type="dxa" w:w="2250"/>
          </w:tcPr>
          <w:p>
            <w:r>
              <w:t xml:space="preserve">общепринятая отраслевая практика</w:t>
            </w:r>
          </w:p>
        </w:tc>
        <w:tc>
          <w:tcPr>
            <w:tcW w:type="dxa" w:w="2250"/>
          </w:tcPr>
          <w:p>
            <w:r>
              <w:t xml:space="preserve">оператор котельной</w:t>
            </w:r>
          </w:p>
        </w:tc>
      </w:tr>
      <w:tr>
        <w:tc>
          <w:tcPr>
            <w:tcW w:type="dxa" w:w="2250"/>
          </w:tcPr>
          <w:p>
            <w:r>
              <w:t xml:space="preserve">Очистка колосниковой решётки от шлака</w:t>
            </w:r>
          </w:p>
        </w:tc>
        <w:tc>
          <w:tcPr>
            <w:tcW w:type="dxa" w:w="2250"/>
          </w:tcPr>
          <w:p>
            <w:r>
              <w:t xml:space="preserve">1 раз в 1–2 недели (уточняется по фактическому качеству топлива)</w:t>
            </w:r>
          </w:p>
        </w:tc>
        <w:tc>
          <w:tcPr>
            <w:tcW w:type="dxa" w:w="2250"/>
          </w:tcPr>
          <w:p>
            <w:r>
              <w:t xml:space="preserve">типовая практика обслуживания твердотопливного оборудования</w:t>
            </w:r>
          </w:p>
        </w:tc>
        <w:tc>
          <w:tcPr>
            <w:tcW w:type="dxa" w:w="2250"/>
          </w:tcPr>
          <w:p>
            <w:r>
              <w:t xml:space="preserve">оператор котельной / слесарь</w:t>
            </w:r>
          </w:p>
        </w:tc>
      </w:tr>
      <w:tr>
        <w:tc>
          <w:tcPr>
            <w:tcW w:type="dxa" w:w="2250"/>
          </w:tcPr>
          <w:p>
            <w:r>
              <w:t xml:space="preserve">Очистка поверхностей нагрева и дымохода от сажи</w:t>
            </w:r>
          </w:p>
        </w:tc>
        <w:tc>
          <w:tcPr>
            <w:tcW w:type="dxa" w:w="2250"/>
          </w:tcPr>
          <w:p>
            <w:r>
              <w:t xml:space="preserve">1 раз в 3–6 месяцев (уточняется по интенсивности эксплуатации)</w:t>
            </w:r>
          </w:p>
        </w:tc>
        <w:tc>
          <w:tcPr>
            <w:tcW w:type="dxa" w:w="2250"/>
          </w:tcPr>
          <w:p>
            <w:r>
              <w:t xml:space="preserve">типовая практика обслуживания котельного оборудования</w:t>
            </w:r>
          </w:p>
        </w:tc>
        <w:tc>
          <w:tcPr>
            <w:tcW w:type="dxa" w:w="2250"/>
          </w:tcPr>
          <w:p>
            <w:r>
              <w:t xml:space="preserve">слесарь по обслуживанию теплотехнического оборудования</w:t>
            </w:r>
          </w:p>
        </w:tc>
      </w:tr>
      <w:tr>
        <w:tc>
          <w:tcPr>
            <w:tcW w:type="dxa" w:w="2250"/>
          </w:tcPr>
          <w:p>
            <w:r>
              <w:t xml:space="preserve">Проверка целостности футеровки топки</w:t>
            </w:r>
          </w:p>
        </w:tc>
        <w:tc>
          <w:tcPr>
            <w:tcW w:type="dxa" w:w="2250"/>
          </w:tcPr>
          <w:p>
            <w:r>
              <w:t xml:space="preserve">1 раз в 12 месяцев</w:t>
            </w:r>
          </w:p>
        </w:tc>
        <w:tc>
          <w:tcPr>
            <w:tcW w:type="dxa" w:w="2250"/>
          </w:tcPr>
          <w:p>
            <w:r>
              <w:t xml:space="preserve">типовая эксплуатационная документация производителей</w:t>
            </w:r>
          </w:p>
        </w:tc>
        <w:tc>
          <w:tcPr>
            <w:tcW w:type="dxa" w:w="2250"/>
          </w:tcPr>
          <w:p>
            <w:r>
              <w:t xml:space="preserve">специализированная бригада / подрядчик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Порядок выполнения работ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Подготовка: остановить котёл, дать прогореть остаткам топлива и остыть золе, вывесить предупреждающие знаки согласно нарядной системе объекта.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Основные операции: выполнить удаление золы, очистку колосниковой решётки/поверхностей нагрева/дымохода согласно графику раздела 2.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Контроль результата: после розжига — проверить тягу и температуру уходящих газов, сравнить с нормами СТД-005.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Зафиксировать выполненные работы в карточке оборудования (08_Карточки_оборудования).</w:t>
      </w:r>
    </w:p>
    <w:p>
      <w:pPr>
        <w:pStyle w:val="Heading1"/>
        <w:spacing w:after="120" w:before="200"/>
      </w:pPr>
      <w:r>
        <w:t xml:space="preserve">4. Требования безопасности</w:t>
      </w:r>
    </w:p>
    <w:p>
      <w:pPr>
        <w:spacing w:after="120"/>
        <w:jc w:val="both"/>
      </w:pPr>
      <w:r>
        <w:t xml:space="preserve">ТРЕБУЕТ ПРОВЕРКИ СПЕЦИАЛИСТОМ ПО ОХРАНЕ ТРУДА ПЕРЕД ИСПОЛЬЗОВАНИЕМ.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Удаление золы выполняется только после её остывания, в средствах защиты органов дыхания от золовой пыли.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Очистка дымохода — с учётом требований пожарной безопасности, вне отопительного сезона предпочтительно с полной остановкой котла.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работе внутри топочного пространства — не менее чем двумя исполнителями.</w:t>
      </w:r>
    </w:p>
    <w:p>
      <w:pPr>
        <w:pStyle w:val="Heading1"/>
        <w:spacing w:after="120" w:before="200"/>
      </w:pPr>
      <w:r>
        <w:t xml:space="preserve">5. Используемые материалы и инструмент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Совок, ёмкость для золы с крышкой (во избежание тления и пыления).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Щётки и скребки для очистки колосниковой решётки и поверхностей нагрева.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Гибкий трос/ёрш для очистки дымохода.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Средства индивидуальной защиты согласно разделу 4 (включая защиту органов дыхания).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2026-07-12T14:13:24.220Z</dcterms:created>
  <dcterms:modified xsi:type="dcterms:W3CDTF">2026-07-12T14:13:24.220Z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