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ЭНЦ-005. Особенности горения твёрдого топлива и тяги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ЭНЦ-005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04_Энциклопедия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ПРМ-006 — общая инженерная теория, не требует привязки к объекту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Понятие / явление</w:t>
      </w:r>
    </w:p>
    <w:p>
      <w:pPr>
        <w:spacing w:after="120"/>
        <w:jc w:val="both"/>
      </w:pPr>
      <w:r>
        <w:t xml:space="preserve">Горение твёрдого топлива (уголь, дрова, пеллеты) в отличие от газообразного или жидкого топлива происходит не в едином факеле, а послойно: воздух должен проходить через слой топлива на колосниковой решётке, обеспечивая кислородом зону горения. Движущей силой этого прохождения воздуха является тяга — разрежение, создаваемое разницей плотностей горячих дымовых газов в дымоходе и холодного наружного воздуха (либо принудительно, дутьевым вентилятором).</w:t>
      </w:r>
    </w:p>
    <w:p>
      <w:pPr>
        <w:spacing w:after="120"/>
        <w:jc w:val="both"/>
      </w:pPr>
      <w:r>
        <w:t xml:space="preserve">По мере сгорания твёрдого топлива образуются зола и шлак — минеральные негорючие остатки. Шлак, в отличие от рыхлой золы, может спекаться в плотную корку на колосниковой решётке, физически перекрывая проходные отверстия для воздуха. Это напрямую снижает подачу кислорода в зону горения, что приводит к неполному сгоранию оставшегося топлива и дальнейшему падению температуры горения — процесс носит самоусиливающийся характер: чем больше шлака, тем хуже горение, тем больше несгоревших остатков откладывается в виде дополнительного шлака.</w:t>
      </w:r>
    </w:p>
    <w:p>
      <w:pPr>
        <w:pStyle w:val="Heading1"/>
        <w:spacing w:after="120" w:before="200"/>
      </w:pPr>
      <w:r>
        <w:t xml:space="preserve">2. Практическое значение</w:t>
      </w:r>
    </w:p>
    <w:p>
      <w:pPr>
        <w:spacing w:after="120"/>
        <w:jc w:val="both"/>
      </w:pPr>
      <w:r>
        <w:t xml:space="preserve">Это объясняет диагностическую логику СТД-005: снижение тяги при неизменном положении шибера интерпретируется как признак зашлаковывания именно потому, что шлак — единственный из типичных факторов, который физически перекрывает воздушный тракт на уровне колосниковой решётки (в отличие от засорения дымохода сажей, которое проявляется иначе — постепенным снижением тяги по всей высоте тракта, а не резко).</w:t>
      </w:r>
    </w:p>
    <w:p>
      <w:pPr>
        <w:spacing w:after="120"/>
        <w:jc w:val="both"/>
      </w:pPr>
      <w:r>
        <w:t xml:space="preserve">Самоусиливающийся характер зашлаковывания объясняет, почему РГЛ-005 задаёт значительно более частую очистку колосниковой решётки (1–2 недели) по сравнению с очисткой поверхностей нагрева от сажи (3–6 месяцев) — если не прервать процесс на ранней стадии, он ускоряется сам по себе.</w:t>
      </w:r>
    </w:p>
    <w:p>
      <w:pPr>
        <w:pStyle w:val="Heading1"/>
        <w:spacing w:after="120" w:before="200"/>
      </w:pPr>
      <w:r>
        <w:t xml:space="preserve">3. Связанные разделы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СТД-005 — Диагностика твердотопливных котлов (01_Стандарты_СТД/СТД-005).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РГЛ-005 — Регламент обслуживания твердотопливных котлов (02_Регламенты_РГЛ).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 «Зашлаковывание колосниковой решётки», «Недостаточная тяга».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ЭНЦ-002 — Процесс горения и КПД водогрейных котлов (общий принцип контроля эффективности горения, применимый и здесь).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2026-07-12T14:13:24.295Z</dcterms:created>
  <dcterms:modified xsi:type="dcterms:W3CDTF">2026-07-12T14:13:24.295Z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