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РГЛ-002. Регламент планового обслуживания водогрейных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Регламент обслуживания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РГЛ-002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02_Регламенты_РГЛ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11.07.2026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данные), промпт ПРМ-003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планового обслуживания, типовая эксплуатационная документация производителей) без привязки к конкретному узлу объекта — сформирован промптом ПРМ-003 (Режим Б, ChatGPT). Периодичность и объём работ — типовые, ТРЕБУЮТ ПРОВЕРКИ И ПРИВЯЗКИ К ФАКТИЧЕСКОМУ ОБОРУДОВАНИЮ ОБЪЕКТА ответственным за раздел перед использованием в реальной эксплуатации. Раздел «Требования безопасности» ДОПОЛНИТЕЛЬНО требует проверки специалистом по охране труда — ни при каких условиях не публикуется и не используется без такой проверки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Регламент применяется при плановом обслуживании водогрейных котлов, работающих на газообразном или жидком топливе, в составе котельных установок тепловых пунктов (смежные документы — СТД-002 «Диагностика водогрейных котлов», ЭНЦ-002 «Процесс горения и КПД водогрейных котлов»).</w:t>
      </w:r>
    </w:p>
    <w:p>
      <w:pPr>
        <w:pStyle w:val="Heading1"/>
        <w:spacing w:after="120" w:before="200"/>
      </w:pPr>
      <w:r>
        <w:t xml:space="preserve">2. Периодичность обслуживания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</w:tr>
      <w:tr>
        <w:tc>
          <w:tcPr>
            <w:tcW w:type="dxa" w:w="2250"/>
          </w:tcPr>
          <w:p>
            <w:r>
              <w:t xml:space="preserve">Визуальный осмотр топки, горелки, дымохода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котельной</w:t>
            </w:r>
          </w:p>
        </w:tc>
      </w:tr>
      <w:tr>
        <w:tc>
          <w:tcPr>
            <w:tcW w:type="dxa" w:w="2250"/>
          </w:tcPr>
          <w:p>
            <w:r>
              <w:t xml:space="preserve">Контроль температуры уходящих газов и расчётного КПД (сверка с СТД-002)</w:t>
            </w:r>
          </w:p>
        </w:tc>
        <w:tc>
          <w:tcPr>
            <w:tcW w:type="dxa" w:w="2250"/>
          </w:tcPr>
          <w:p>
            <w:r>
              <w:t xml:space="preserve">ежесменно / ежемесячно (расчёт КПД)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котельной</w:t>
            </w:r>
          </w:p>
        </w:tc>
      </w:tr>
      <w:tr>
        <w:tc>
          <w:tcPr>
            <w:tcW w:type="dxa" w:w="2250"/>
          </w:tcPr>
          <w:p>
            <w:r>
              <w:t xml:space="preserve">Очистка поверхностей нагрева от сажи и накипи со стороны газового тракта</w:t>
            </w:r>
          </w:p>
        </w:tc>
        <w:tc>
          <w:tcPr>
            <w:tcW w:type="dxa" w:w="2250"/>
          </w:tcPr>
          <w:p>
            <w:r>
              <w:t xml:space="preserve">1 раз в 6–12 месяцев (уточняется по фактическому качеству топлива и воды)</w:t>
            </w:r>
          </w:p>
        </w:tc>
        <w:tc>
          <w:tcPr>
            <w:tcW w:type="dxa" w:w="2250"/>
          </w:tcPr>
          <w:p>
            <w:r>
              <w:t xml:space="preserve">типовая практика обслуживания котельного оборудования</w:t>
            </w:r>
          </w:p>
        </w:tc>
        <w:tc>
          <w:tcPr>
            <w:tcW w:type="dxa" w:w="2250"/>
          </w:tcPr>
          <w:p>
            <w:r>
              <w:t xml:space="preserve">слесарь по обслуживанию теплотехнического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Наладка режима горения (проверка соотношения топливо/воздух)</w:t>
            </w:r>
          </w:p>
        </w:tc>
        <w:tc>
          <w:tcPr>
            <w:tcW w:type="dxa" w:w="2250"/>
          </w:tcPr>
          <w:p>
            <w:r>
              <w:t xml:space="preserve">1 раз в 12 месяцев или при выявлении неполноты сгорания (см. НСП-003)</w:t>
            </w:r>
          </w:p>
        </w:tc>
        <w:tc>
          <w:tcPr>
            <w:tcW w:type="dxa" w:w="2250"/>
          </w:tcPr>
          <w:p>
            <w:r>
              <w:t xml:space="preserve">типовая эксплуатационная документация производителей горелок</w:t>
            </w:r>
          </w:p>
        </w:tc>
        <w:tc>
          <w:tcPr>
            <w:tcW w:type="dxa" w:w="2250"/>
          </w:tcPr>
          <w:p>
            <w:r>
              <w:t xml:space="preserve">специалист по наладке котельного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Проверка герметичности газового тракта и топочного пространства</w:t>
            </w:r>
          </w:p>
        </w:tc>
        <w:tc>
          <w:tcPr>
            <w:tcW w:type="dxa" w:w="2250"/>
          </w:tcPr>
          <w:p>
            <w:r>
              <w:t xml:space="preserve">1 раз в 12 месяцев</w:t>
            </w:r>
          </w:p>
        </w:tc>
        <w:tc>
          <w:tcPr>
            <w:tcW w:type="dxa" w:w="2250"/>
          </w:tcPr>
          <w:p>
            <w:r>
              <w:t xml:space="preserve">общепринятые требования безопасной эксплуатации газового оборудования</w:t>
            </w:r>
          </w:p>
        </w:tc>
        <w:tc>
          <w:tcPr>
            <w:tcW w:type="dxa" w:w="2250"/>
          </w:tcPr>
          <w:p>
            <w:r>
              <w:t xml:space="preserve">специализированная бригада / газовая служба</w:t>
            </w:r>
          </w:p>
        </w:tc>
      </w:tr>
      <w:tr>
        <w:tc>
          <w:tcPr>
            <w:tcW w:type="dxa" w:w="2250"/>
          </w:tcPr>
          <w:p>
            <w:r>
              <w:t xml:space="preserve">Полная ревизия котла с частичной разборкой</w:t>
            </w:r>
          </w:p>
        </w:tc>
        <w:tc>
          <w:tcPr>
            <w:tcW w:type="dxa" w:w="2250"/>
          </w:tcPr>
          <w:p>
            <w:r>
              <w:t xml:space="preserve">1 раз в 3–5 лет (уточняется по паспорту)</w:t>
            </w:r>
          </w:p>
        </w:tc>
        <w:tc>
          <w:tcPr>
            <w:tcW w:type="dxa" w:w="2250"/>
          </w:tcPr>
          <w:p>
            <w:r>
              <w:t xml:space="preserve">типовая практика капитального обслуживания</w:t>
            </w:r>
          </w:p>
        </w:tc>
        <w:tc>
          <w:tcPr>
            <w:tcW w:type="dxa" w:w="2250"/>
          </w:tcPr>
          <w:p>
            <w:r>
              <w:t xml:space="preserve">специализированная бригада / подрядчик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Порядок выполнения работ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Подготовка: остановить котёл в штатном режиме, дать остыть, отключить подачу топлива и электропитание горелки, вывесить предупреждающие знаки согласно нарядной системе объекта.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Основные операции: выполнить осмотр/очистку/наладку согласно графику раздела 2, с фиксацией фактического состояния поверхностей нагрева и горелочного устройства.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Контроль результата: после сборки и запуска — снять контрольные показания температуры уходящих газов, рассчитать КПД, сравнить с нормами СТД-002.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Зафиксировать выполненные работы в карточке оборудования (08_Карточки_оборудования).</w:t>
      </w:r>
    </w:p>
    <w:p>
      <w:pPr>
        <w:pStyle w:val="Heading1"/>
        <w:spacing w:after="120" w:before="200"/>
      </w:pPr>
      <w:r>
        <w:t xml:space="preserve">4. Требования безопасности</w:t>
      </w:r>
    </w:p>
    <w:p>
      <w:pPr>
        <w:spacing w:after="120"/>
        <w:jc w:val="both"/>
      </w:pPr>
      <w:r>
        <w:t xml:space="preserve">ТРЕБУЕТ ПРОВЕРКИ СПЕЦИАЛИСТОМ ПО ОХРАНЕ ТРУДА ПЕРЕД ИСПОЛЬЗОВАНИЕМ.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Работы с газовым трактом и топочным пространством выполняются только персоналом, имеющим допуск к работе с газовым оборудованием, с оформлением наряда-допуска.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Перед вскрытием топки и газового тракта — обязательная проверка на загазованность.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работе с горячими поверхностями — использование средств защиты от термических ожогов.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Работы внутри топочного пространства — не менее чем двумя исполнителями.</w:t>
      </w:r>
    </w:p>
    <w:p>
      <w:pPr>
        <w:pStyle w:val="Heading1"/>
        <w:spacing w:after="120" w:before="200"/>
      </w:pPr>
      <w:r>
        <w:t xml:space="preserve">5. Используемые материалы и инструмент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Средства и инструмент для механической/химической очистки поверхностей нагрева (совместимые с материалом котла).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Газоанализатор уходящих газов для контроля и наладки режима горения.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Приборы контроля загазованности.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Средства индивидуальной защиты согласно разделу 4.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2026-07-12T04:07:29.357Z</dcterms:created>
  <dcterms:modified xsi:type="dcterms:W3CDTF">2026-07-12T04:07:29.370Z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