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РГЛ-003. Регламент планового обслуживания циркуляционных насосов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11.07.2026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циркуляционных насосов систем отопления и горячего водоснабжения в составе тепловых пунктов (смежные документы — СТД-003 «Диагностика циркуляционных насосов», ИНС-001 «Порядок запуска циркуляционного насоса», ЭНЦ-003 «Принципы работы центробежных насосов»).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Контроль напора, тока электродвигателя, посторонних шумов/вибрации при пуске</w:t>
            </w:r>
          </w:p>
        </w:tc>
        <w:tc>
          <w:tcPr>
            <w:tcW w:type="dxa" w:w="2250"/>
          </w:tcPr>
          <w:p>
            <w:r>
              <w:t xml:space="preserve">при каждом пуске (см. ИНС-001)</w:t>
            </w:r>
          </w:p>
        </w:tc>
        <w:tc>
          <w:tcPr>
            <w:tcW w:type="dxa" w:w="2250"/>
          </w:tcPr>
          <w:p>
            <w:r>
              <w:t xml:space="preserve">ИНС-001, 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насоса и трубопроводной обвязки на предмет протечек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Инструментальный контроль уровня вибрации</w:t>
            </w:r>
          </w:p>
        </w:tc>
        <w:tc>
          <w:tcPr>
            <w:tcW w:type="dxa" w:w="2250"/>
          </w:tcPr>
          <w:p>
            <w:r>
              <w:t xml:space="preserve">1 раз в месяц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 виброконтроля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сопротивления изоляции обмотки электродвигателя</w:t>
            </w:r>
          </w:p>
        </w:tc>
        <w:tc>
          <w:tcPr>
            <w:tcW w:type="dxa" w:w="2250"/>
          </w:tcPr>
          <w:p>
            <w:r>
              <w:t xml:space="preserve">1 раз в квартал</w:t>
            </w:r>
          </w:p>
        </w:tc>
        <w:tc>
          <w:tcPr>
            <w:tcW w:type="dxa" w:w="225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2250"/>
          </w:tcPr>
          <w:p>
            <w:r>
              <w:t xml:space="preserve">специалист по электрооборудованию</w:t>
            </w:r>
          </w:p>
        </w:tc>
      </w:tr>
      <w:tr>
        <w:tc>
          <w:tcPr>
            <w:tcW w:type="dxa" w:w="2250"/>
          </w:tcPr>
          <w:p>
            <w:r>
              <w:t xml:space="preserve">Замена подшипников</w:t>
            </w:r>
          </w:p>
        </w:tc>
        <w:tc>
          <w:tcPr>
            <w:tcW w:type="dxa" w:w="2250"/>
          </w:tcPr>
          <w:p>
            <w:r>
              <w:t xml:space="preserve">по результатам виброконтроля или по наработке согласно паспорту двигателя (типовое значение уточняется по паспорту)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Балансировка ротора</w:t>
            </w:r>
          </w:p>
        </w:tc>
        <w:tc>
          <w:tcPr>
            <w:tcW w:type="dxa" w:w="2250"/>
          </w:tcPr>
          <w:p>
            <w:r>
              <w:t xml:space="preserve">по результатам виброконтроля при выявлении дисбаланса</w:t>
            </w:r>
          </w:p>
        </w:tc>
        <w:tc>
          <w:tcPr>
            <w:tcW w:type="dxa" w:w="2250"/>
          </w:tcPr>
          <w:p>
            <w:r>
              <w:t xml:space="preserve">типовая практика виброналадки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подрядчик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отключить насос от электропитания, сбросить давление в контуре, убедиться в остановке вращения ротора,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осмотр/виброконтроль/замену узлов согласно графику раздела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сборки — выполнить пробный запуск по ИНС-001, снять контрольные показания и сравнить с нормами СТД-003.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Работы на электрооборудовании насоса выполняются только персоналом с допуском по электробезопасности, после снятия напряжения и проверки его отсутствия.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Разборка насоса для замены подшипников или балансировки — не менее чем двумя исполнителями, с оформлением наряда-допуска на работы повышенной опасности.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работе с горячим теплоносителем — использование средств защиты от термических ожогов.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Подшипники соответствующего типоразмера (по паспорту насоса).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Виброметр, мегаомметр, токовые клещи.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Съёмник подшипников, смазочный материал, стандартный слесарный инструмент.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2026-07-12T04:07:29.578Z</dcterms:created>
  <dcterms:modified xsi:type="dcterms:W3CDTF">2026-07-12T04:07:29.578Z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