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Технический словарь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Единая терминология проекта Knowledge Factory «Теплоконтур»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Мастер-источник</w:t>
            </w:r>
          </w:p>
        </w:tc>
        <w:tc>
          <w:tcPr>
            <w:tcW w:type="dxa" w:w="6000"/>
          </w:tcPr>
          <w:p>
            <w:r>
              <w:t xml:space="preserve">00_Проект/02_Реестр/Реестр_терминов.xlsx — этот документ является читаемым представлением реестра, НЕ отдельным источником истины (см. КП-001, раздел 4)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10.07.2026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Количество терминов</w:t>
            </w:r>
          </w:p>
        </w:tc>
        <w:tc>
          <w:tcPr>
            <w:tcW w:type="dxa" w:w="6000"/>
          </w:tcPr>
          <w:p>
            <w:r>
              <w:t xml:space="preserve">29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О документе</w:t>
      </w:r>
    </w:p>
    <w:p>
      <w:pPr>
        <w:spacing w:after="120"/>
        <w:jc w:val="both"/>
      </w:pPr>
      <w:r>
        <w:t xml:space="preserve">Термины отсортированы по алфавиту для удобства чтения. При добавлении нового термина в проект он сначала вносится в Реестр_терминов.xlsx (см. КП-002, КП-007), а этот документ обновляется вслед за реестром, а не наоборот.</w:t>
      </w:r>
    </w:p>
    <w:p>
      <w:pPr>
        <w:pStyle w:val="Heading1"/>
        <w:spacing w:after="120" w:before="200"/>
      </w:pPr>
      <w:r>
        <w:t xml:space="preserve">Термины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Определение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Раздел применения</w:t>
            </w:r>
          </w:p>
        </w:tc>
      </w:tr>
      <w:tr>
        <w:tc>
          <w:tcPr>
            <w:tcW w:type="dxa" w:w="2250"/>
          </w:tcPr>
          <w:p>
            <w:r>
              <w:t xml:space="preserve">RAG-карточка</w:t>
            </w:r>
          </w:p>
        </w:tc>
        <w:tc>
          <w:tcPr>
            <w:tcW w:type="dxa" w:w="2250"/>
          </w:tcPr>
          <w:p>
            <w:r>
              <w:t xml:space="preserve">Структурированный фрагмент знания, оптимизированный для поиска и передачи ИИ-агенту (Retrieval-Augmented Generation)</w:t>
            </w:r>
          </w:p>
        </w:tc>
        <w:tc>
          <w:tcPr>
            <w:tcW w:type="dxa" w:w="2250"/>
          </w:tcPr>
          <w:p>
            <w:r>
              <w:t xml:space="preserve">КП-003</w:t>
            </w:r>
          </w:p>
        </w:tc>
        <w:tc>
          <w:tcPr>
            <w:tcW w:type="dxa" w:w="2250"/>
          </w:tcPr>
          <w:p>
            <w:r>
              <w:t xml:space="preserve">06_RAG</w:t>
            </w:r>
          </w:p>
        </w:tc>
      </w:tr>
      <w:tr>
        <w:tc>
          <w:tcPr>
            <w:tcW w:type="dxa" w:w="2250"/>
          </w:tcPr>
          <w:p>
            <w:r>
              <w:t xml:space="preserve">Автоматизированный узел управления (АУУ)</w:t>
            </w:r>
          </w:p>
        </w:tc>
        <w:tc>
          <w:tcPr>
            <w:tcW w:type="dxa" w:w="2250"/>
          </w:tcPr>
          <w:p>
            <w:r>
              <w:t xml:space="preserve">Устройство с комплектом оборудования, устанавливаемое в месте подключения системы отопления здания к распределительным тепловым сетям от ЦТП, позволяющее изменить температурный и гидравлический режимы и обеспечить учёт расхода тепловой энергии</w:t>
            </w:r>
          </w:p>
        </w:tc>
        <w:tc>
          <w:tcPr>
            <w:tcW w:type="dxa" w:w="2250"/>
          </w:tcPr>
          <w:p>
            <w:r>
              <w:t xml:space="preserve">СП 124.13330.2012, п. 3.15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Бак-аккумулятор</w:t>
            </w:r>
          </w:p>
        </w:tc>
        <w:tc>
          <w:tcPr>
            <w:tcW w:type="dxa" w:w="2250"/>
          </w:tcPr>
          <w:p>
            <w:r>
              <w:t xml:space="preserve">Резервуар для накопления и хранения нагретого или охлаждённого теплоносителя</w:t>
            </w:r>
          </w:p>
        </w:tc>
        <w:tc>
          <w:tcPr>
            <w:tcW w:type="dxa" w:w="2250"/>
          </w:tcPr>
          <w:p>
            <w:r>
              <w:t xml:space="preserve">ГОСТ 22270-2018, п. 2.8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Водяное отопление</w:t>
            </w:r>
          </w:p>
        </w:tc>
        <w:tc>
          <w:tcPr>
            <w:tcW w:type="dxa" w:w="2250"/>
          </w:tcPr>
          <w:p>
            <w:r>
              <w:t xml:space="preserve">Вид отопления помещений с помощью жидкого теплоносителя (воды или другой жидкости)</w:t>
            </w:r>
          </w:p>
        </w:tc>
        <w:tc>
          <w:tcPr>
            <w:tcW w:type="dxa" w:w="2250"/>
          </w:tcPr>
          <w:p>
            <w:r>
              <w:t xml:space="preserve">ГОСТ 22270-2018, п. 2.70.1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Дисбаланс ротора</w:t>
            </w:r>
          </w:p>
        </w:tc>
        <w:tc>
          <w:tcPr>
            <w:tcW w:type="dxa" w:w="2250"/>
          </w:tcPr>
          <w:p>
            <w:r>
              <w:t xml:space="preserve">Неравномерное распределение массы вращающегося ротора, вызывающее вибрацию, синхронную с частотой вращения</w:t>
            </w:r>
          </w:p>
        </w:tc>
        <w:tc>
          <w:tcPr>
            <w:tcW w:type="dxa" w:w="2250"/>
          </w:tcPr>
          <w:p>
            <w:r>
              <w:t xml:space="preserve">ЭНЦ-003, 10_Каталог_неисправностей</w:t>
            </w:r>
          </w:p>
        </w:tc>
        <w:tc>
          <w:tcPr>
            <w:tcW w:type="dxa" w:w="2250"/>
          </w:tcPr>
          <w:p>
            <w:r>
              <w:t xml:space="preserve">04_Энциклопедия, 10_Каталог_неисправностей</w:t>
            </w:r>
          </w:p>
        </w:tc>
      </w:tr>
      <w:tr>
        <w:tc>
          <w:tcPr>
            <w:tcW w:type="dxa" w:w="2250"/>
          </w:tcPr>
          <w:p>
            <w:r>
              <w:t xml:space="preserve">Загрязнение теплообменной поверхности</w:t>
            </w:r>
          </w:p>
        </w:tc>
        <w:tc>
          <w:tcPr>
            <w:tcW w:type="dxa" w:w="2250"/>
          </w:tcPr>
          <w:p>
            <w:r>
              <w:t xml:space="preserve">Отложения на теплопередающей поверхности, снижающие коэффициент теплопередачи</w:t>
            </w:r>
          </w:p>
        </w:tc>
        <w:tc>
          <w:tcPr>
            <w:tcW w:type="dxa" w:w="2250"/>
          </w:tcPr>
          <w:p>
            <w:r>
              <w:t xml:space="preserve">СТД-001, 10_Каталог_неисправностей</w:t>
            </w:r>
          </w:p>
        </w:tc>
        <w:tc>
          <w:tcPr>
            <w:tcW w:type="dxa" w:w="2250"/>
          </w:tcPr>
          <w:p>
            <w:r>
              <w:t xml:space="preserve">01_Стандарты_СТД, 10_Каталог_неисправностей</w:t>
            </w:r>
          </w:p>
        </w:tc>
      </w:tr>
      <w:tr>
        <w:tc>
          <w:tcPr>
            <w:tcW w:type="dxa" w:w="2250"/>
          </w:tcPr>
          <w:p>
            <w:r>
              <w:t xml:space="preserve">Индивидуальный тепловой пункт (ИТП)</w:t>
            </w:r>
          </w:p>
        </w:tc>
        <w:tc>
          <w:tcPr>
            <w:tcW w:type="dxa" w:w="2250"/>
          </w:tcPr>
          <w:p>
            <w:r>
              <w:t xml:space="preserve">Тепловой пункт, предназначенный для присоединения систем отопления, вентиляции, горячего водоснабжения одного здания или его части</w:t>
            </w:r>
          </w:p>
        </w:tc>
        <w:tc>
          <w:tcPr>
            <w:tcW w:type="dxa" w:w="2250"/>
          </w:tcPr>
          <w:p>
            <w:r>
              <w:t xml:space="preserve">СП 124.13330.2012, п. 3.13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Источник тепловой энергии</w:t>
            </w:r>
          </w:p>
        </w:tc>
        <w:tc>
          <w:tcPr>
            <w:tcW w:type="dxa" w:w="2250"/>
          </w:tcPr>
          <w:p>
            <w:r>
              <w:t xml:space="preserve">Устройство, предназначенное для производства тепловой энергии</w:t>
            </w:r>
          </w:p>
        </w:tc>
        <w:tc>
          <w:tcPr>
            <w:tcW w:type="dxa" w:w="2250"/>
          </w:tcPr>
          <w:p>
            <w:r>
              <w:t xml:space="preserve">ФЗ №190-ФЗ, ст. 2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КПД котла</w:t>
            </w:r>
          </w:p>
        </w:tc>
        <w:tc>
          <w:tcPr>
            <w:tcW w:type="dxa" w:w="2250"/>
          </w:tcPr>
          <w:p>
            <w:r>
              <w:t xml:space="preserve">Отношение тепловой энергии, фактически переданной воде, к энергии, выделившейся при сжигании топлива</w:t>
            </w:r>
          </w:p>
        </w:tc>
        <w:tc>
          <w:tcPr>
            <w:tcW w:type="dxa" w:w="2250"/>
          </w:tcPr>
          <w:p>
            <w:r>
              <w:t xml:space="preserve">СТД-002, ЭНЦ-002</w:t>
            </w:r>
          </w:p>
        </w:tc>
        <w:tc>
          <w:tcPr>
            <w:tcW w:type="dxa" w:w="2250"/>
          </w:tcPr>
          <w:p>
            <w:r>
              <w:t xml:space="preserve">01_Стандарты_СТД, 04_Энциклопедия</w:t>
            </w:r>
          </w:p>
        </w:tc>
      </w:tr>
      <w:tr>
        <w:tc>
          <w:tcPr>
            <w:tcW w:type="dxa" w:w="2250"/>
          </w:tcPr>
          <w:p>
            <w:r>
              <w:t xml:space="preserve">Кавитация</w:t>
            </w:r>
          </w:p>
        </w:tc>
        <w:tc>
          <w:tcPr>
            <w:tcW w:type="dxa" w:w="2250"/>
          </w:tcPr>
          <w:p>
            <w:r>
              <w:t xml:space="preserve">Образование и схлопывание пузырьков пара в зоне пониженного давления на входе в рабочее колесо насоса</w:t>
            </w:r>
          </w:p>
        </w:tc>
        <w:tc>
          <w:tcPr>
            <w:tcW w:type="dxa" w:w="2250"/>
          </w:tcPr>
          <w:p>
            <w:r>
              <w:t xml:space="preserve">ЭНЦ-003, 10_Каталог_неисправностей</w:t>
            </w:r>
          </w:p>
        </w:tc>
        <w:tc>
          <w:tcPr>
            <w:tcW w:type="dxa" w:w="2250"/>
          </w:tcPr>
          <w:p>
            <w:r>
              <w:t xml:space="preserve">04_Энциклопедия, 10_Каталог_неисправностей</w:t>
            </w:r>
          </w:p>
        </w:tc>
      </w:tr>
      <w:tr>
        <w:tc>
          <w:tcPr>
            <w:tcW w:type="dxa" w:w="2250"/>
          </w:tcPr>
          <w:p>
            <w:r>
              <w:t xml:space="preserve">Коммерческий учёт тепловой энергии</w:t>
            </w:r>
          </w:p>
        </w:tc>
        <w:tc>
          <w:tcPr>
            <w:tcW w:type="dxa" w:w="2250"/>
          </w:tcPr>
          <w:p>
            <w:r>
              <w:t xml:space="preserve">Установление количества и качества производимой, передаваемой или потребляемой тепловой энергии и теплоносителя с помощью приборов учёта либо расчётным путём</w:t>
            </w:r>
          </w:p>
        </w:tc>
        <w:tc>
          <w:tcPr>
            <w:tcW w:type="dxa" w:w="2250"/>
          </w:tcPr>
          <w:p>
            <w:r>
              <w:t xml:space="preserve">ФЗ №190-ФЗ, ст. 2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Коэффициент теплопередачи</w:t>
            </w:r>
          </w:p>
        </w:tc>
        <w:tc>
          <w:tcPr>
            <w:tcW w:type="dxa" w:w="2250"/>
          </w:tcPr>
          <w:p>
            <w:r>
              <w:t xml:space="preserve">Величина, характеризующая интенсивность передачи тепла от одного теплоносителя к другому через разделяющую стенку; снижается при образовании отложений на поверхности</w:t>
            </w:r>
          </w:p>
        </w:tc>
        <w:tc>
          <w:tcPr>
            <w:tcW w:type="dxa" w:w="2250"/>
          </w:tcPr>
          <w:p>
            <w:r>
              <w:t xml:space="preserve">ЭНЦ-001</w:t>
            </w:r>
          </w:p>
        </w:tc>
        <w:tc>
          <w:tcPr>
            <w:tcW w:type="dxa" w:w="2250"/>
          </w:tcPr>
          <w:p>
            <w:r>
              <w:t xml:space="preserve">04_Энциклопедия, 01_Стандарты_СТД</w:t>
            </w:r>
          </w:p>
        </w:tc>
      </w:tr>
      <w:tr>
        <w:tc>
          <w:tcPr>
            <w:tcW w:type="dxa" w:w="2250"/>
          </w:tcPr>
          <w:p>
            <w:r>
              <w:t xml:space="preserve">Надёжность теплоснабжения</w:t>
            </w:r>
          </w:p>
        </w:tc>
        <w:tc>
          <w:tcPr>
            <w:tcW w:type="dxa" w:w="2250"/>
          </w:tcPr>
          <w:p>
            <w:r>
              <w:t xml:space="preserve">Характеристика состояния системы теплоснабжения, при котором обеспечиваются качество и безопасность теплоснабжения</w:t>
            </w:r>
          </w:p>
        </w:tc>
        <w:tc>
          <w:tcPr>
            <w:tcW w:type="dxa" w:w="2250"/>
          </w:tcPr>
          <w:p>
            <w:r>
              <w:t xml:space="preserve">ФЗ №190-ФЗ, ст. 2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Напор насоса</w:t>
            </w:r>
          </w:p>
        </w:tc>
        <w:tc>
          <w:tcPr>
            <w:tcW w:type="dxa" w:w="2250"/>
          </w:tcPr>
          <w:p>
            <w:r>
              <w:t xml:space="preserve">Перепад давления, создаваемый насосом за счёт передачи механической энергии рабочего колеса потоку жидкости</w:t>
            </w:r>
          </w:p>
        </w:tc>
        <w:tc>
          <w:tcPr>
            <w:tcW w:type="dxa" w:w="2250"/>
          </w:tcPr>
          <w:p>
            <w:r>
              <w:t xml:space="preserve">СТД-003, ЭНЦ-003</w:t>
            </w:r>
          </w:p>
        </w:tc>
        <w:tc>
          <w:tcPr>
            <w:tcW w:type="dxa" w:w="2250"/>
          </w:tcPr>
          <w:p>
            <w:r>
              <w:t xml:space="preserve">01_Стандарты_СТД, 04_Энциклопедия</w:t>
            </w:r>
          </w:p>
        </w:tc>
      </w:tr>
      <w:tr>
        <w:tc>
          <w:tcPr>
            <w:tcW w:type="dxa" w:w="2250"/>
          </w:tcPr>
          <w:p>
            <w:r>
              <w:t xml:space="preserve">Наряд-допуск</w:t>
            </w:r>
          </w:p>
        </w:tc>
        <w:tc>
          <w:tcPr>
            <w:tcW w:type="dxa" w:w="2250"/>
          </w:tcPr>
          <w:p>
            <w:r>
              <w:t xml:space="preserve">Документ, разрешающий выполнение работ повышенной опасности с указанием условий безопасного производства работ</w:t>
            </w:r>
          </w:p>
        </w:tc>
        <w:tc>
          <w:tcPr>
            <w:tcW w:type="dxa" w:w="2250"/>
          </w:tcPr>
          <w:p>
            <w:r>
              <w:t xml:space="preserve">РГЛ-001</w:t>
            </w:r>
          </w:p>
        </w:tc>
        <w:tc>
          <w:tcPr>
            <w:tcW w:type="dxa" w:w="2250"/>
          </w:tcPr>
          <w:p>
            <w:r>
              <w:t xml:space="preserve">02_Регламенты_РГЛ</w:t>
            </w:r>
          </w:p>
        </w:tc>
      </w:tr>
      <w:tr>
        <w:tc>
          <w:tcPr>
            <w:tcW w:type="dxa" w:w="2250"/>
          </w:tcPr>
          <w:p>
            <w:r>
              <w:t xml:space="preserve">Неполнота сгорания топлива</w:t>
            </w:r>
          </w:p>
        </w:tc>
        <w:tc>
          <w:tcPr>
            <w:tcW w:type="dxa" w:w="2250"/>
          </w:tcPr>
          <w:p>
            <w:r>
              <w:t xml:space="preserve">Отклонение от оптимального соотношения топливо/воздух в горелке, снижающее КПД и увеличивающее сажеобразование</w:t>
            </w:r>
          </w:p>
        </w:tc>
        <w:tc>
          <w:tcPr>
            <w:tcW w:type="dxa" w:w="2250"/>
          </w:tcPr>
          <w:p>
            <w:r>
              <w:t xml:space="preserve">ЭНЦ-002, 10_Каталог_неисправностей</w:t>
            </w:r>
          </w:p>
        </w:tc>
        <w:tc>
          <w:tcPr>
            <w:tcW w:type="dxa" w:w="2250"/>
          </w:tcPr>
          <w:p>
            <w:r>
              <w:t xml:space="preserve">04_Энциклопедия, 10_Каталог_неисправностей</w:t>
            </w:r>
          </w:p>
        </w:tc>
      </w:tr>
      <w:tr>
        <w:tc>
          <w:tcPr>
            <w:tcW w:type="dxa" w:w="2250"/>
          </w:tcPr>
          <w:p>
            <w:r>
              <w:t xml:space="preserve">Перепад давления</w:t>
            </w:r>
          </w:p>
        </w:tc>
        <w:tc>
          <w:tcPr>
            <w:tcW w:type="dxa" w:w="2250"/>
          </w:tcPr>
          <w:p>
            <w:r>
              <w:t xml:space="preserve">Разность давлений теплоносителя на входе и выходе оборудования</w:t>
            </w:r>
          </w:p>
        </w:tc>
        <w:tc>
          <w:tcPr>
            <w:tcW w:type="dxa" w:w="2250"/>
          </w:tcPr>
          <w:p>
            <w:r>
              <w:t xml:space="preserve">СТД-001</w:t>
            </w:r>
          </w:p>
        </w:tc>
        <w:tc>
          <w:tcPr>
            <w:tcW w:type="dxa" w:w="2250"/>
          </w:tcPr>
          <w:p>
            <w:r>
              <w:t xml:space="preserve">01_Стандарты_СТД</w:t>
            </w:r>
          </w:p>
        </w:tc>
      </w:tr>
      <w:tr>
        <w:tc>
          <w:tcPr>
            <w:tcW w:type="dxa" w:w="2250"/>
          </w:tcPr>
          <w:p>
            <w:r>
              <w:t xml:space="preserve">Релиз</w:t>
            </w:r>
          </w:p>
        </w:tc>
        <w:tc>
          <w:tcPr>
            <w:tcW w:type="dxa" w:w="2250"/>
          </w:tcPr>
          <w:p>
            <w:r>
              <w:t xml:space="preserve">Зафиксированный на определённую дату согласованный набор утверждённых документов Проекта</w:t>
            </w:r>
          </w:p>
        </w:tc>
        <w:tc>
          <w:tcPr>
            <w:tcW w:type="dxa" w:w="2250"/>
          </w:tcPr>
          <w:p>
            <w:r>
              <w:t xml:space="preserve">КП-005</w:t>
            </w:r>
          </w:p>
        </w:tc>
        <w:tc>
          <w:tcPr>
            <w:tcW w:type="dxa" w:w="2250"/>
          </w:tcPr>
          <w:p>
            <w:r>
              <w:t xml:space="preserve">26_Релизы</w:t>
            </w:r>
          </w:p>
        </w:tc>
      </w:tr>
      <w:tr>
        <w:tc>
          <w:tcPr>
            <w:tcW w:type="dxa" w:w="2250"/>
          </w:tcPr>
          <w:p>
            <w:r>
              <w:t xml:space="preserve">Система теплоснабжения</w:t>
            </w:r>
          </w:p>
        </w:tc>
        <w:tc>
          <w:tcPr>
            <w:tcW w:type="dxa" w:w="2250"/>
          </w:tcPr>
          <w:p>
            <w:r>
              <w:t xml:space="preserve">Совокупность источников тепловой энергии и теплопотребляющих установок, технологически соединённых тепловыми сетями</w:t>
            </w:r>
          </w:p>
        </w:tc>
        <w:tc>
          <w:tcPr>
            <w:tcW w:type="dxa" w:w="2250"/>
          </w:tcPr>
          <w:p>
            <w:r>
              <w:t xml:space="preserve">ФЗ №190-ФЗ, ст. 2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Система централизованного теплоснабжения (СЦТ)</w:t>
            </w:r>
          </w:p>
        </w:tc>
        <w:tc>
          <w:tcPr>
            <w:tcW w:type="dxa" w:w="2250"/>
          </w:tcPr>
          <w:p>
            <w:r>
              <w:t xml:space="preserve">Система, состоящая из одного или нескольких источников теплоты, тепловых сетей и потребителей теплоты</w:t>
            </w:r>
          </w:p>
        </w:tc>
        <w:tc>
          <w:tcPr>
            <w:tcW w:type="dxa" w:w="2250"/>
          </w:tcPr>
          <w:p>
            <w:r>
              <w:t xml:space="preserve">СП 124.13330.2012, п. 3.1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Сопротивление изоляции обмотки</w:t>
            </w:r>
          </w:p>
        </w:tc>
        <w:tc>
          <w:tcPr>
            <w:tcW w:type="dxa" w:w="2250"/>
          </w:tcPr>
          <w:p>
            <w:r>
              <w:t xml:space="preserve">Электрическая характеристика обмотки электродвигателя, снижение которой указывает на риск повреждения изоляции</w:t>
            </w:r>
          </w:p>
        </w:tc>
        <w:tc>
          <w:tcPr>
            <w:tcW w:type="dxa" w:w="2250"/>
          </w:tcPr>
          <w:p>
            <w:r>
              <w:t xml:space="preserve">СТД-003</w:t>
            </w:r>
          </w:p>
        </w:tc>
        <w:tc>
          <w:tcPr>
            <w:tcW w:type="dxa" w:w="2250"/>
          </w:tcPr>
          <w:p>
            <w:r>
              <w:t xml:space="preserve">01_Стандарты_СТД</w:t>
            </w:r>
          </w:p>
        </w:tc>
      </w:tr>
      <w:tr>
        <w:tc>
          <w:tcPr>
            <w:tcW w:type="dxa" w:w="2250"/>
          </w:tcPr>
          <w:p>
            <w:r>
              <w:t xml:space="preserve">Статус документа</w:t>
            </w:r>
          </w:p>
        </w:tc>
        <w:tc>
          <w:tcPr>
            <w:tcW w:type="dxa" w:w="2250"/>
          </w:tcPr>
          <w:p>
            <w:r>
              <w:t xml:space="preserve">Этап жизненного цикла документа: Черновик / На редакции / Утверждено / Архивный</w:t>
            </w:r>
          </w:p>
        </w:tc>
        <w:tc>
          <w:tcPr>
            <w:tcW w:type="dxa" w:w="2250"/>
          </w:tcPr>
          <w:p>
            <w:r>
              <w:t xml:space="preserve">КП-007</w:t>
            </w:r>
          </w:p>
        </w:tc>
        <w:tc>
          <w:tcPr>
            <w:tcW w:type="dxa" w:w="2250"/>
          </w:tcPr>
          <w:p>
            <w:r>
              <w:t xml:space="preserve">19–21, 25</w:t>
            </w:r>
          </w:p>
        </w:tc>
      </w:tr>
      <w:tr>
        <w:tc>
          <w:tcPr>
            <w:tcW w:type="dxa" w:w="2250"/>
          </w:tcPr>
          <w:p>
            <w:r>
              <w:t xml:space="preserve">Тепловая мощность аппарата</w:t>
            </w:r>
          </w:p>
        </w:tc>
        <w:tc>
          <w:tcPr>
            <w:tcW w:type="dxa" w:w="2250"/>
          </w:tcPr>
          <w:p>
            <w:r>
              <w:t xml:space="preserve">Количество тепловой энергии, передаваемой теплообменным аппаратом в единицу времени</w:t>
            </w:r>
          </w:p>
        </w:tc>
        <w:tc>
          <w:tcPr>
            <w:tcW w:type="dxa" w:w="2250"/>
          </w:tcPr>
          <w:p>
            <w:r>
              <w:t xml:space="preserve">СТД-001</w:t>
            </w:r>
          </w:p>
        </w:tc>
        <w:tc>
          <w:tcPr>
            <w:tcW w:type="dxa" w:w="2250"/>
          </w:tcPr>
          <w:p>
            <w:r>
              <w:t xml:space="preserve">01_Стандарты_СТД</w:t>
            </w:r>
          </w:p>
        </w:tc>
      </w:tr>
      <w:tr>
        <w:tc>
          <w:tcPr>
            <w:tcW w:type="dxa" w:w="2250"/>
          </w:tcPr>
          <w:p>
            <w:r>
              <w:t xml:space="preserve">Тепловая сеть</w:t>
            </w:r>
          </w:p>
        </w:tc>
        <w:tc>
          <w:tcPr>
            <w:tcW w:type="dxa" w:w="2250"/>
          </w:tcPr>
          <w:p>
            <w:r>
              <w:t xml:space="preserve">Совокупность устройств (включая тепловые пункты, насосные станции), предназначенных для передачи тепловой энергии и теплоносителя от источников тепловой энергии до теплопотребляющих установок</w:t>
            </w:r>
          </w:p>
        </w:tc>
        <w:tc>
          <w:tcPr>
            <w:tcW w:type="dxa" w:w="2250"/>
          </w:tcPr>
          <w:p>
            <w:r>
              <w:t xml:space="preserve">ФЗ №190-ФЗ, ст. 2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Тепловая энергия</w:t>
            </w:r>
          </w:p>
        </w:tc>
        <w:tc>
          <w:tcPr>
            <w:tcW w:type="dxa" w:w="2250"/>
          </w:tcPr>
          <w:p>
            <w:r>
              <w:t xml:space="preserve">Энергетический ресурс, при потреблении которого изменяются термодинамические параметры теплоносителя (температура, давление)</w:t>
            </w:r>
          </w:p>
        </w:tc>
        <w:tc>
          <w:tcPr>
            <w:tcW w:type="dxa" w:w="2250"/>
          </w:tcPr>
          <w:p>
            <w:r>
              <w:t xml:space="preserve">ФЗ №190-ФЗ «О теплоснабжении», ст. 2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  <w:tr>
        <w:tc>
          <w:tcPr>
            <w:tcW w:type="dxa" w:w="2250"/>
          </w:tcPr>
          <w:p>
            <w:r>
              <w:t xml:space="preserve">Тепловой пункт</w:t>
            </w:r>
          </w:p>
        </w:tc>
        <w:tc>
          <w:tcPr>
            <w:tcW w:type="dxa" w:w="2250"/>
          </w:tcPr>
          <w:p>
            <w:r>
              <w:t xml:space="preserve">Сооружение с комплектом оборудования, позволяющее изменить температурный и гидравлический режимы теплоносителя, обеспечить учёт и регулирование расхода тепловой энергии и теплоносителя</w:t>
            </w:r>
          </w:p>
        </w:tc>
        <w:tc>
          <w:tcPr>
            <w:tcW w:type="dxa" w:w="2250"/>
          </w:tcPr>
          <w:p>
            <w:r>
              <w:t xml:space="preserve">СП 124.13330.2012, п. 3.12</w:t>
            </w:r>
          </w:p>
        </w:tc>
        <w:tc>
          <w:tcPr>
            <w:tcW w:type="dxa" w:w="2250"/>
          </w:tcPr>
          <w:p>
            <w:r>
              <w:t xml:space="preserve">16_Нормативные_документы, 01_Стандарты_СТД, 02_Регламенты_РГЛ</w:t>
            </w:r>
          </w:p>
        </w:tc>
      </w:tr>
      <w:tr>
        <w:tc>
          <w:tcPr>
            <w:tcW w:type="dxa" w:w="2250"/>
          </w:tcPr>
          <w:p>
            <w:r>
              <w:t xml:space="preserve">Теплоноситель</w:t>
            </w:r>
          </w:p>
        </w:tc>
        <w:tc>
          <w:tcPr>
            <w:tcW w:type="dxa" w:w="2250"/>
          </w:tcPr>
          <w:p>
            <w:r>
              <w:t xml:space="preserve">Пар или вода, используемые для передачи тепловой энергии; в контексте систем отопления и вентиляции — рабочая среда этих систем</w:t>
            </w:r>
          </w:p>
        </w:tc>
        <w:tc>
          <w:tcPr>
            <w:tcW w:type="dxa" w:w="2250"/>
          </w:tcPr>
          <w:p>
            <w:r>
              <w:t xml:space="preserve">ФЗ №190-ФЗ, ст. 2; ГОСТ 22270-2018, п. 2.93</w:t>
            </w:r>
          </w:p>
        </w:tc>
        <w:tc>
          <w:tcPr>
            <w:tcW w:type="dxa" w:w="2250"/>
          </w:tcPr>
          <w:p>
            <w:r>
              <w:t xml:space="preserve">16_Нормативные_документы, 01_Стандарты_СТД</w:t>
            </w:r>
          </w:p>
        </w:tc>
      </w:tr>
      <w:tr>
        <w:tc>
          <w:tcPr>
            <w:tcW w:type="dxa" w:w="2250"/>
          </w:tcPr>
          <w:p>
            <w:r>
              <w:t xml:space="preserve">Теплообменник</w:t>
            </w:r>
          </w:p>
        </w:tc>
        <w:tc>
          <w:tcPr>
            <w:tcW w:type="dxa" w:w="2250"/>
          </w:tcPr>
          <w:p>
            <w:r>
              <w:t xml:space="preserve">Устройство, в котором осуществляется бесконтактный процесс теплообмена между жидкими и/или газообразными средами</w:t>
            </w:r>
          </w:p>
        </w:tc>
        <w:tc>
          <w:tcPr>
            <w:tcW w:type="dxa" w:w="2250"/>
          </w:tcPr>
          <w:p>
            <w:r>
              <w:t xml:space="preserve">ГОСТ 22270-2018, п. 2.94</w:t>
            </w:r>
          </w:p>
        </w:tc>
        <w:tc>
          <w:tcPr>
            <w:tcW w:type="dxa" w:w="2250"/>
          </w:tcPr>
          <w:p>
            <w:r>
              <w:t xml:space="preserve">16_Нормативные_документы, 01_Стандарты_СТД, 04_Энциклопедия</w:t>
            </w:r>
          </w:p>
        </w:tc>
      </w:tr>
      <w:tr>
        <w:tc>
          <w:tcPr>
            <w:tcW w:type="dxa" w:w="2250"/>
          </w:tcPr>
          <w:p>
            <w:r>
              <w:t xml:space="preserve">Центральный тепловой пункт (ЦТП)</w:t>
            </w:r>
          </w:p>
        </w:tc>
        <w:tc>
          <w:tcPr>
            <w:tcW w:type="dxa" w:w="2250"/>
          </w:tcPr>
          <w:p>
            <w:r>
              <w:t xml:space="preserve">Тепловой пункт, предназначенный для присоединения систем двух и более зданий</w:t>
            </w:r>
          </w:p>
        </w:tc>
        <w:tc>
          <w:tcPr>
            <w:tcW w:type="dxa" w:w="2250"/>
          </w:tcPr>
          <w:p>
            <w:r>
              <w:t xml:space="preserve">СП 124.13330.2012, п. 3.14</w:t>
            </w:r>
          </w:p>
        </w:tc>
        <w:tc>
          <w:tcPr>
            <w:tcW w:type="dxa" w:w="2250"/>
          </w:tcPr>
          <w:p>
            <w:r>
              <w:t xml:space="preserve">16_Нормативные_документы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2026-07-10T08:50:17.471Z</dcterms:created>
  <dcterms:modified xsi:type="dcterms:W3CDTF">2026-07-10T08:50:17.482Z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