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НД-001. Индекс нормативных документов проекта</w:t>
      </w:r>
    </w:p>
    <w:p>
      <w:pPr>
        <w:spacing w:after="300"/>
      </w:pPr>
      <w:r>
        <w:rPr>
          <w:i/>
          <w:iCs/>
          <w:sz w:val="26"/>
          <w:szCs w:val="26"/>
        </w:rPr>
        <w:t xml:space="preserve">Внешние нормативные документы, на терминологию и требования которых опирается база знаний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Код</w:t>
            </w:r>
          </w:p>
        </w:tc>
        <w:tc>
          <w:tcPr>
            <w:tcW w:type="dxa" w:w="6000"/>
          </w:tcPr>
          <w:p>
            <w:r>
              <w:t xml:space="preserve">НД-001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Версия</w:t>
            </w:r>
          </w:p>
        </w:tc>
        <w:tc>
          <w:tcPr>
            <w:tcW w:type="dxa" w:w="6000"/>
          </w:tcPr>
          <w:p>
            <w:r>
              <w:t xml:space="preserve">1.0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6000"/>
          </w:tcPr>
          <w:p>
            <w:r>
              <w:t xml:space="preserve">Утверждено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Ответственный</w:t>
            </w:r>
          </w:p>
        </w:tc>
        <w:tc>
          <w:tcPr>
            <w:tcW w:type="dxa" w:w="6000"/>
          </w:tcPr>
          <w:p>
            <w:r>
              <w:t xml:space="preserve">Редактор раздела 16_Нормативные_документы</w:t>
            </w:r>
          </w:p>
        </w:tc>
      </w:tr>
      <w:tr>
        <w:tc>
          <w:tcPr>
            <w:tcW w:type="dxa" w:w="3000"/>
            <w:shd w:fill="F2F2F2" w:val="clear"/>
          </w:tcPr>
          <w:p>
            <w:r>
              <w:rPr>
                <w:b/>
                <w:bCs/>
              </w:rPr>
              <w:t xml:space="preserve">Дата</w:t>
            </w:r>
          </w:p>
        </w:tc>
        <w:tc>
          <w:tcPr>
            <w:tcW w:type="dxa" w:w="6000"/>
          </w:tcPr>
          <w:p>
            <w:r>
              <w:t xml:space="preserve">10.07.2026</w:t>
            </w:r>
          </w:p>
        </w:tc>
      </w:tr>
    </w:tbl>
    <w:p>
      <w:pPr>
        <w:spacing w:after="200"/>
      </w:pPr>
    </w:p>
    <w:p>
      <w:pPr>
        <w:pStyle w:val="Heading1"/>
        <w:spacing w:after="120" w:before="200"/>
      </w:pPr>
      <w:r>
        <w:t xml:space="preserve">О документе</w:t>
      </w:r>
    </w:p>
    <w:p>
      <w:pPr>
        <w:spacing w:after="120"/>
        <w:jc w:val="both"/>
      </w:pPr>
      <w:r>
        <w:t xml:space="preserve">Этот индекс не воспроизводит текст нормативных документов (полные тексты защищены авторским правом издающих органов и распространяются через официальные источники) — только фиксирует, какие внешние документы используются в проекте, для чего именно, и где взять актуальный текст. Термины из этих документов, использованные в проекте, зафиксированы с атрибуцией в 09_Технический_словарь/Технический_словарь.docx и 00_Проект/02_Реестр/Реестр_терминов.xlsx.</w:t>
      </w:r>
    </w:p>
    <w:p>
      <w:pPr>
        <w:pStyle w:val="Heading1"/>
        <w:spacing w:after="120" w:before="200"/>
      </w:pPr>
      <w:r>
        <w:t xml:space="preserve">1. Реестр документов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Документ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Статус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Область применения в проекте</w:t>
            </w:r>
          </w:p>
        </w:tc>
        <w:tc>
          <w:tcPr>
            <w:tcW w:type="dxa" w:w="2250"/>
            <w:shd w:fill="DDE6F0" w:val="clear"/>
          </w:tcPr>
          <w:p>
            <w:r>
              <w:rPr>
                <w:b/>
                <w:bCs/>
              </w:rPr>
              <w:t xml:space="preserve">Официальный источник</w:t>
            </w:r>
          </w:p>
        </w:tc>
      </w:tr>
      <w:tr>
        <w:tc>
          <w:tcPr>
            <w:tcW w:type="dxa" w:w="2250"/>
          </w:tcPr>
          <w:p>
            <w:r>
              <w:t xml:space="preserve">Федеральный закон от 27.07.2010 № 190-ФЗ «О теплоснабжении»</w:t>
            </w:r>
          </w:p>
        </w:tc>
        <w:tc>
          <w:tcPr>
            <w:tcW w:type="dxa" w:w="2250"/>
          </w:tcPr>
          <w:p>
            <w:r>
              <w:t xml:space="preserve">Действует</w:t>
            </w:r>
          </w:p>
        </w:tc>
        <w:tc>
          <w:tcPr>
            <w:tcW w:type="dxa" w:w="2250"/>
          </w:tcPr>
          <w:p>
            <w:r>
              <w:t xml:space="preserve">Базовая терминология: тепловая энергия, теплоноситель, источник тепловой энергии, тепловая сеть, система теплоснабжения, надёжность теплоснабжения, коммерческий учёт</w:t>
            </w:r>
          </w:p>
        </w:tc>
        <w:tc>
          <w:tcPr>
            <w:tcW w:type="dxa" w:w="2250"/>
          </w:tcPr>
          <w:p>
            <w:r>
              <w:t xml:space="preserve">pravo.gov.ru, consultant.ru, garant.ru</w:t>
            </w:r>
          </w:p>
        </w:tc>
      </w:tr>
      <w:tr>
        <w:tc>
          <w:tcPr>
            <w:tcW w:type="dxa" w:w="2250"/>
          </w:tcPr>
          <w:p>
            <w:r>
              <w:t xml:space="preserve">ГОСТ 22270-2018 «Системы отопления, вентиляции и кондиционирования. Термины и определения»</w:t>
            </w:r>
          </w:p>
        </w:tc>
        <w:tc>
          <w:tcPr>
            <w:tcW w:type="dxa" w:w="2250"/>
          </w:tcPr>
          <w:p>
            <w:r>
              <w:t xml:space="preserve">Действует с 01.11.2018</w:t>
            </w:r>
          </w:p>
        </w:tc>
        <w:tc>
          <w:tcPr>
            <w:tcW w:type="dxa" w:w="2250"/>
          </w:tcPr>
          <w:p>
            <w:r>
              <w:t xml:space="preserve">Терминология оборудования: теплоноситель, теплообменник, водяное отопление, бак-аккумулятор</w:t>
            </w:r>
          </w:p>
        </w:tc>
        <w:tc>
          <w:tcPr>
            <w:tcW w:type="dxa" w:w="2250"/>
          </w:tcPr>
          <w:p>
            <w:r>
              <w:t xml:space="preserve">protect.gost.ru, docs.cntd.ru</w:t>
            </w:r>
          </w:p>
        </w:tc>
      </w:tr>
      <w:tr>
        <w:tc>
          <w:tcPr>
            <w:tcW w:type="dxa" w:w="2250"/>
          </w:tcPr>
          <w:p>
            <w:r>
              <w:t xml:space="preserve">СП 124.13330.2012 «Тепловые сети» (Актуализированная редакция СНиП 41-02-2003)</w:t>
            </w:r>
          </w:p>
        </w:tc>
        <w:tc>
          <w:tcPr>
            <w:tcW w:type="dxa" w:w="2250"/>
          </w:tcPr>
          <w:p>
            <w:r>
              <w:t xml:space="preserve">Действует, с изменениями № 1–4</w:t>
            </w:r>
          </w:p>
        </w:tc>
        <w:tc>
          <w:tcPr>
            <w:tcW w:type="dxa" w:w="2250"/>
          </w:tcPr>
          <w:p>
            <w:r>
              <w:t xml:space="preserve">Терминология тепловых пунктов: тепловой пункт, ИТП, ЦТП, АУУ, система централизованного теплоснабжения (СЦТ)</w:t>
            </w:r>
          </w:p>
        </w:tc>
        <w:tc>
          <w:tcPr>
            <w:tcW w:type="dxa" w:w="2250"/>
          </w:tcPr>
          <w:p>
            <w:r>
              <w:t xml:space="preserve">minstroyrf.gov.ru, docs.cntd.ru</w:t>
            </w:r>
          </w:p>
        </w:tc>
      </w:tr>
    </w:tbl>
    <w:p>
      <w:pPr>
        <w:spacing w:after="120"/>
      </w:pPr>
    </w:p>
    <w:p>
      <w:pPr>
        <w:pStyle w:val="Heading1"/>
        <w:spacing w:after="120" w:before="200"/>
      </w:pPr>
      <w:r>
        <w:t xml:space="preserve">2. Связь с терминологией проекта</w:t>
      </w:r>
    </w:p>
    <w:p>
      <w:pPr>
        <w:spacing w:after="120"/>
        <w:jc w:val="both"/>
      </w:pPr>
      <w:r>
        <w:t xml:space="preserve">Все термины, заимствованные из перечисленных документов, отмечены соответствующим источником в колонке «Источник» Реестра_терминов.xlsx — это позволяет отличить внутреннюю терминологию проекта (введённую в СТД/РГЛ/ЭНЦ) от терминологии, регламентированной внешними нормативными документами.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Термин «Тепловой пункт» использовался в СТД-001, РГЛ-001 и других документах без формального определения до пополнения словаря по СП 124.13330.2012 — пробел закрыт.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Термин «Теплоноситель» — базовое понятие, использовавшееся неявно во всех СТД/РГЛ/ИНС; формализовано по ФЗ №190 и ГОСТ 22270.</w:t>
      </w:r>
    </w:p>
    <w:p>
      <w:pPr>
        <w:pStyle w:val="Heading1"/>
        <w:spacing w:after="120" w:before="200"/>
      </w:pPr>
      <w:r>
        <w:t xml:space="preserve">3. Порядок актуализации</w:t>
      </w:r>
    </w:p>
    <w:p>
      <w:pPr>
        <w:spacing w:after="120"/>
        <w:jc w:val="both"/>
      </w:pPr>
      <w:r>
        <w:t xml:space="preserve">При выходе новой редакции любого из перечисленных документов — статус в разделе 1 обновляется, а затронутые термины в Реестре_терминов.xlsx проверяются на соответствие новой редакции (см. КП-007, ответственность за актуальность).</w:t>
      </w:r>
    </w:p>
    <w:sectPr>
      <w:pgSz w:w="11906" w:h="16838" w:orient="portrait"/>
      <w:pgMar w:top="1134" w:right="850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2026-07-10T08:50:40.722Z</dcterms:created>
  <dcterms:modified xsi:type="dcterms:W3CDTF">2026-07-10T08:50:40.722Z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