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ИНС-001. Порядок запуска циркуляционного насоса</w:t>
      </w:r>
    </w:p>
    <w:p>
      <w:pPr>
        <w:spacing w:after="300"/>
      </w:pPr>
      <w:r>
        <w:rPr>
          <w:i/>
          <w:iCs/>
          <w:sz w:val="26"/>
          <w:szCs w:val="26"/>
        </w:rPr>
        <w:t xml:space="preserve">Инструкция для персонала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b/>
                <w:bCs/>
              </w:rPr>
              <w:t xml:space="preserve">Код</w:t>
            </w:r>
          </w:p>
        </w:tc>
        <w:tc>
          <w:tcPr>
            <w:tcW w:type="dxa" w:w="6000"/>
          </w:tcPr>
          <w:p>
            <w:r>
              <w:t xml:space="preserve">ИНС-001</w:t>
            </w:r>
          </w:p>
        </w:tc>
      </w:tr>
      <w:tr>
        <w:tc>
          <w:tcPr>
            <w:tcW w:type="dxa" w:w="3000"/>
            <w:shd w:fill="F2F2F2" w:val="clear"/>
          </w:tcPr>
          <w:p>
            <w:r>
              <w:rPr>
                <w:b/>
                <w:bCs/>
              </w:rPr>
              <w:t xml:space="preserve">Версия</w:t>
            </w:r>
          </w:p>
        </w:tc>
        <w:tc>
          <w:tcPr>
            <w:tcW w:type="dxa" w:w="6000"/>
          </w:tcPr>
          <w:p>
            <w:r>
              <w:t xml:space="preserve">1.0</w:t>
            </w:r>
          </w:p>
        </w:tc>
      </w:tr>
      <w:tr>
        <w:tc>
          <w:tcPr>
            <w:tcW w:type="dxa" w:w="3000"/>
            <w:shd w:fill="F2F2F2" w:val="clear"/>
          </w:tcPr>
          <w:p>
            <w:r>
              <w:rPr>
                <w:b/>
                <w:bCs/>
              </w:rPr>
              <w:t xml:space="preserve">Статус</w:t>
            </w:r>
          </w:p>
        </w:tc>
        <w:tc>
          <w:tcPr>
            <w:tcW w:type="dxa" w:w="6000"/>
          </w:tcPr>
          <w:p>
            <w:r>
              <w:t xml:space="preserve">Утверждено</w:t>
            </w:r>
          </w:p>
        </w:tc>
      </w:tr>
      <w:tr>
        <w:tc>
          <w:tcPr>
            <w:tcW w:type="dxa" w:w="3000"/>
            <w:shd w:fill="F2F2F2" w:val="clear"/>
          </w:tcPr>
          <w:p>
            <w:r>
              <w:rPr>
                <w:b/>
                <w:bCs/>
              </w:rPr>
              <w:t xml:space="preserve">Ответственный</w:t>
            </w:r>
          </w:p>
        </w:tc>
        <w:tc>
          <w:tcPr>
            <w:tcW w:type="dxa" w:w="6000"/>
          </w:tcPr>
          <w:p>
            <w:r>
              <w:t xml:space="preserve">Редактор раздела 03_Инструкции_ИНС</w:t>
            </w:r>
          </w:p>
        </w:tc>
      </w:tr>
      <w:tr>
        <w:tc>
          <w:tcPr>
            <w:tcW w:type="dxa" w:w="3000"/>
            <w:shd w:fill="F2F2F2" w:val="clear"/>
          </w:tcPr>
          <w:p>
            <w:r>
              <w:rPr>
                <w:b/>
                <w:bCs/>
              </w:rPr>
              <w:t xml:space="preserve">Дата</w:t>
            </w:r>
          </w:p>
        </w:tc>
        <w:tc>
          <w:tcPr>
            <w:tcW w:type="dxa" w:w="6000"/>
          </w:tcPr>
          <w:p>
            <w:r>
              <w:t xml:space="preserve">11.07.2026</w:t>
            </w:r>
          </w:p>
        </w:tc>
      </w:tr>
      <w:tr>
        <w:tc>
          <w:tcPr>
            <w:tcW w:type="dxa" w:w="3000"/>
            <w:shd w:fill="F2F2F2" w:val="clear"/>
          </w:tcPr>
          <w:p>
            <w:r>
              <w:rPr>
                <w:b/>
                <w:bCs/>
              </w:rPr>
              <w:t xml:space="preserve">Источник</w:t>
            </w:r>
          </w:p>
        </w:tc>
        <w:tc>
          <w:tcPr>
            <w:tcW w:type="dxa" w:w="6000"/>
          </w:tcPr>
          <w:p>
            <w:r>
              <w:t xml:space="preserve">ИИ (ChatGPT, промпт ПРМ-005) — разделы 1-3; раздел 4 «Типичные ошибки» — по документированным отраслевым случаям из открытых источников</w:t>
            </w:r>
          </w:p>
        </w:tc>
      </w:tr>
    </w:tbl>
    <w:p>
      <w:pPr>
        <w:spacing w:after="200"/>
      </w:pPr>
    </w:p>
    <w:p>
      <w:pPr>
        <w:pStyle w:val="Heading1"/>
        <w:spacing w:after="120" w:before="200"/>
      </w:pPr>
      <w:r>
        <w:t xml:space="preserve">Примечание</w:t>
      </w:r>
    </w:p>
    <w:p>
      <w:pPr>
        <w:spacing w:after="120"/>
        <w:jc w:val="both"/>
      </w:pPr>
      <w:r>
        <w:t xml:space="preserve">ПРИМЕЧАНИЕ: разделы «Необходимые условия» и «Пошаговые действия» составлены по общей отраслевой практике (промпт ПРМ-005, Режим Б) и рекомендуется сверить их с фактическим оборудованием и принятыми на объекте процедурами при первом практическом применении. Раздел «Необходимые условия» также требует итоговой проверки специалистом по охране труда. Раздел «Типичные ошибки» (см. ниже) заполнен на основании документированных отраслевых случаев из открытых источников — статус «Утверждено» присвоен на основании того, что это реальные задокументированные инциденты, а не гипотетические примеры (см. КП-002).</w:t>
      </w:r>
    </w:p>
    <w:p>
      <w:pPr>
        <w:pStyle w:val="Heading1"/>
        <w:spacing w:after="120" w:before="200"/>
      </w:pPr>
      <w:r>
        <w:t xml:space="preserve">1. Назначение инструкции</w:t>
      </w:r>
    </w:p>
    <w:p>
      <w:pPr>
        <w:spacing w:after="120"/>
        <w:jc w:val="both"/>
      </w:pPr>
      <w:r>
        <w:t xml:space="preserve">Инструкция описывает порядок безопасного запуска циркуляционного насоса системы отопления или горячего водоснабжения после ремонта, планового обслуживания или после остановки по любой причине. Смежный документ — СТД-003 «Диагностика циркуляционных насосов».</w:t>
      </w:r>
    </w:p>
    <w:p>
      <w:pPr>
        <w:pStyle w:val="Heading1"/>
        <w:spacing w:after="120" w:before="200"/>
      </w:pPr>
      <w:r>
        <w:t xml:space="preserve">2. Необходимые условия</w:t>
      </w:r>
    </w:p>
    <w:p>
      <w:pPr>
        <w:spacing w:after="120"/>
        <w:jc w:val="both"/>
      </w:pPr>
      <w:r>
        <w:t xml:space="preserve">Раздел рекомендуется сверить со специалистом по охране труда перед практическим применением на конкретном объекте.</w:t>
      </w:r>
    </w:p>
    <w:p>
      <w:pPr>
        <w:pStyle w:val="ListParagraph"/>
        <w:numPr>
          <w:ilvl w:val="0"/>
          <w:numId w:val="2"/>
        </w:numPr>
        <w:spacing w:after="100"/>
      </w:pPr>
      <w:r>
        <w:t xml:space="preserve">Допуск: персонал, прошедший инструктаж по эксплуатации насосного и электрооборудования теплового пункта.</w:t>
      </w:r>
    </w:p>
    <w:p>
      <w:pPr>
        <w:pStyle w:val="ListParagraph"/>
        <w:numPr>
          <w:ilvl w:val="0"/>
          <w:numId w:val="2"/>
        </w:numPr>
        <w:spacing w:after="100"/>
      </w:pPr>
      <w:r>
        <w:t xml:space="preserve">Инструмент: не требуется, если запуск выполняется штатными органами управления.</w:t>
      </w:r>
    </w:p>
    <w:p>
      <w:pPr>
        <w:pStyle w:val="ListParagraph"/>
        <w:numPr>
          <w:ilvl w:val="0"/>
          <w:numId w:val="2"/>
        </w:numPr>
        <w:spacing w:after="100"/>
      </w:pPr>
      <w:r>
        <w:t xml:space="preserve">Средства защиты: согласно общим требованиям при работе в тепловом пункте (спецодежда, при необходимости — средства защиты слуха вблизи работающего насоса).</w:t>
      </w:r>
    </w:p>
    <w:p>
      <w:pPr>
        <w:pStyle w:val="ListParagraph"/>
        <w:numPr>
          <w:ilvl w:val="0"/>
          <w:numId w:val="2"/>
        </w:numPr>
        <w:spacing w:after="100"/>
      </w:pPr>
      <w:r>
        <w:t xml:space="preserve">Убедиться, что система заполнена теплоносителем и воздух из контура удалён (иначе возможна работа «всухую», кавитация и повреждение насоса — см. Случай 3 в разделе 4).</w:t>
      </w:r>
    </w:p>
    <w:p>
      <w:pPr>
        <w:pStyle w:val="ListParagraph"/>
        <w:numPr>
          <w:ilvl w:val="0"/>
          <w:numId w:val="2"/>
        </w:numPr>
        <w:spacing w:after="100"/>
      </w:pPr>
      <w:r>
        <w:t xml:space="preserve">Убедиться, что напорная (выходная) задвижка насоса открыта или переведена в предписанное для пуска положение — запуск при полностью закрытой напорной задвижке недопустим (см. Случай 1 в разделе 4).</w:t>
      </w:r>
    </w:p>
    <w:p>
      <w:pPr>
        <w:pStyle w:val="ListParagraph"/>
        <w:numPr>
          <w:ilvl w:val="0"/>
          <w:numId w:val="2"/>
        </w:numPr>
        <w:spacing w:after="100"/>
      </w:pPr>
      <w:r>
        <w:t xml:space="preserve">Перед запуском выполнить обход и визуальную проверку фактического положения трубопроводной арматуры «по месту» — не полагаться только на схему или показания с диспетчерской (см. Случаи 2 и 7 в разделе 4).</w:t>
      </w:r>
    </w:p>
    <w:p>
      <w:pPr>
        <w:pStyle w:val="Heading1"/>
        <w:spacing w:after="120" w:before="200"/>
      </w:pPr>
      <w:r>
        <w:t xml:space="preserve">3. Пошаговые действия</w:t>
      </w:r>
    </w:p>
    <w:p>
      <w:pPr>
        <w:pStyle w:val="ListParagraph"/>
        <w:numPr>
          <w:ilvl w:val="0"/>
          <w:numId w:val="3"/>
        </w:numPr>
        <w:spacing w:after="100"/>
      </w:pPr>
      <w:r>
        <w:t xml:space="preserve">Выполните обход насоса и трубопроводов «по месту»: убедитесь, что запорная арматура на входе и выходе насоса находится в положении, предписанном для пуска, независимо от того, что показывает схема или система дистанционного управления.</w:t>
      </w:r>
    </w:p>
    <w:p>
      <w:pPr>
        <w:pStyle w:val="ListParagraph"/>
        <w:numPr>
          <w:ilvl w:val="0"/>
          <w:numId w:val="3"/>
        </w:numPr>
        <w:spacing w:after="100"/>
      </w:pPr>
      <w:r>
        <w:t xml:space="preserve">Убедитесь, что напорная задвижка не закрыта полностью (см. раздел 2).</w:t>
      </w:r>
    </w:p>
    <w:p>
      <w:pPr>
        <w:pStyle w:val="ListParagraph"/>
        <w:numPr>
          <w:ilvl w:val="0"/>
          <w:numId w:val="3"/>
        </w:numPr>
        <w:spacing w:after="100"/>
      </w:pPr>
      <w:r>
        <w:t xml:space="preserve">Проверьте отсутствие посторонних предметов и блокировок вращения на муфте насоса (при наличии открытого доступа).</w:t>
      </w:r>
    </w:p>
    <w:p>
      <w:pPr>
        <w:pStyle w:val="ListParagraph"/>
        <w:numPr>
          <w:ilvl w:val="0"/>
          <w:numId w:val="3"/>
        </w:numPr>
        <w:spacing w:after="100"/>
      </w:pPr>
      <w:r>
        <w:t xml:space="preserve">Проверьте наличие напряжения на клеммах электродвигателя и отсутствие аварийных сигналов на панели управления.</w:t>
      </w:r>
    </w:p>
    <w:p>
      <w:pPr>
        <w:pStyle w:val="ListParagraph"/>
        <w:numPr>
          <w:ilvl w:val="0"/>
          <w:numId w:val="3"/>
        </w:numPr>
        <w:spacing w:after="100"/>
      </w:pPr>
      <w:r>
        <w:t xml:space="preserve">Включите насос штатным органом управления (кнопка / автоматика теплового пункта).</w:t>
      </w:r>
    </w:p>
    <w:p>
      <w:pPr>
        <w:pStyle w:val="ListParagraph"/>
        <w:numPr>
          <w:ilvl w:val="0"/>
          <w:numId w:val="3"/>
        </w:numPr>
        <w:spacing w:after="100"/>
      </w:pPr>
      <w:r>
        <w:t xml:space="preserve">В течение первых 1-2 минут работы контролируйте показания тока электродвигателя И одновременно — наличие посторонних шумов и вибрации. Нормальный ток электродвигателя сам по себе не подтверждает исправность насоса или трубопроводной обвязки (см. Случай 5 в разделе 4) — оценивайте оба типа признаков вместе.</w:t>
      </w:r>
    </w:p>
    <w:p>
      <w:pPr>
        <w:pStyle w:val="ListParagraph"/>
        <w:numPr>
          <w:ilvl w:val="0"/>
          <w:numId w:val="3"/>
        </w:numPr>
        <w:spacing w:after="100"/>
      </w:pPr>
      <w:r>
        <w:t xml:space="preserve">Проверьте появление расчётного перепада давления (напора) на насосе — сверьте с нормой из СТД-003.</w:t>
      </w:r>
    </w:p>
    <w:p>
      <w:pPr>
        <w:pStyle w:val="ListParagraph"/>
        <w:numPr>
          <w:ilvl w:val="0"/>
          <w:numId w:val="3"/>
        </w:numPr>
        <w:spacing w:after="100"/>
      </w:pPr>
      <w:r>
        <w:t xml:space="preserve">Зафиксируйте факт запуска и контрольные параметры в карточке оборудования (08_Карточки_оборудования).</w:t>
      </w:r>
    </w:p>
    <w:p>
      <w:pPr>
        <w:pStyle w:val="Heading1"/>
        <w:spacing w:after="120" w:before="200"/>
      </w:pPr>
      <w:r>
        <w:t xml:space="preserve">4. Типичные ошибки</w:t>
      </w:r>
    </w:p>
    <w:p>
      <w:pPr>
        <w:spacing w:after="120"/>
        <w:jc w:val="both"/>
      </w:pPr>
      <w:r>
        <w:t xml:space="preserve">Ниже приведены документированные отраслевые случаи из открытых источников (не опыт эксплуатации именно этого объекта — при появлении случаев с реального объекта их следует добавить отдельными записями с указанием, что источник — собственная эксплуатация).</w:t>
      </w:r>
    </w:p>
    <w:p>
      <w:pPr>
        <w:pStyle w:val="ListParagraph"/>
        <w:numPr>
          <w:ilvl w:val="0"/>
          <w:numId w:val="2"/>
        </w:numPr>
        <w:spacing w:after="100"/>
      </w:pPr>
      <w:r>
        <w:t xml:space="preserve">Случай 1 — запуск при закрытой напорной задвижке. Насос работал практически без расхода, произошёл быстрый нагрев жидкости в корпусе, перегрев торцевого уплотнения и подшипников; в одном из случаев расплавился материал подшипников, сработала защита электродвигателя. Обнаружено после остановки — по вытекшему расплавленному металлу подшипников.</w:t>
      </w:r>
    </w:p>
    <w:p>
      <w:pPr>
        <w:pStyle w:val="ListParagraph"/>
        <w:numPr>
          <w:ilvl w:val="0"/>
          <w:numId w:val="2"/>
        </w:numPr>
        <w:spacing w:after="100"/>
      </w:pPr>
      <w:r>
        <w:t xml:space="preserve">Случай 2 — перед запуском не проверили фактическое положение трубопроводной арматуры («не обошли по месту»). После включения насоса давление резко возросло, было разрушено быстроразъёмное соединение, произошёл выброс продукта и травмирование персонала.</w:t>
      </w:r>
    </w:p>
    <w:p>
      <w:pPr>
        <w:pStyle w:val="ListParagraph"/>
        <w:numPr>
          <w:ilvl w:val="0"/>
          <w:numId w:val="2"/>
        </w:numPr>
        <w:spacing w:after="100"/>
      </w:pPr>
      <w:r>
        <w:t xml:space="preserve">Случай 3 — насос запустили без удаления воздуха из корпуса и трубопровода. Возникла кавитация: сильный шум, вибрация, производительность значительно ниже расчётной; при продолжительной работе — ускоренное разрушение рабочего колеса и торцевого уплотнения. Обнаружено по характерному шуму («грохот») и недобору давления.</w:t>
      </w:r>
    </w:p>
    <w:p>
      <w:pPr>
        <w:pStyle w:val="ListParagraph"/>
        <w:numPr>
          <w:ilvl w:val="0"/>
          <w:numId w:val="2"/>
        </w:numPr>
        <w:spacing w:after="100"/>
      </w:pPr>
      <w:r>
        <w:t xml:space="preserve">Случай 5 — нормальные показания приборов ввели персонал в заблуждение. После запуска параметры двигателя и насоса выглядели допустимыми, повышенной вибрации не придали значения; через несколько часов произошёл пожар — причиной оказалась неправильно собранная запорная арматура после ремонта, а не сам насос.</w:t>
      </w:r>
    </w:p>
    <w:p>
      <w:pPr>
        <w:pStyle w:val="ListParagraph"/>
        <w:numPr>
          <w:ilvl w:val="0"/>
          <w:numId w:val="2"/>
        </w:numPr>
        <w:spacing w:after="100"/>
      </w:pPr>
      <w:r>
        <w:t xml:space="preserve">Случай 7 — дистанционный запуск без предварительной проверки оборудования «по месту». Насос запускали из диспетчерской, не убедившись, что вся трубопроводная арматура в правильном положении; после запуска выяснилось, что часть арматуры оставалась закрытой — насос перегрелся, было повреждено торцевое уплотнение.</w:t>
      </w:r>
    </w:p>
    <w:p>
      <w:pPr>
        <w:pStyle w:val="ListParagraph"/>
        <w:numPr>
          <w:ilvl w:val="0"/>
          <w:numId w:val="2"/>
        </w:numPr>
        <w:spacing w:after="100"/>
      </w:pPr>
      <w:r>
        <w:t xml:space="preserve">Случай 4 (диагностический, для СТД-003) — повышенную вибрацию сначала приняли за износ подшипников или разбалансировку ротора; после нескольких безрезультатных ремонтов выяснилось, что причина — износ корпуса (улитки) насоса. После замены корпуса вибрация снизилась примерно на 90%. Вывод: не останавливаться на первой правдоподобной причине, если ремонт не даёт результата.</w:t>
      </w:r>
    </w:p>
    <w:p>
      <w:pPr>
        <w:pStyle w:val="ListParagraph"/>
        <w:numPr>
          <w:ilvl w:val="0"/>
          <w:numId w:val="2"/>
        </w:numPr>
        <w:spacing w:after="100"/>
      </w:pPr>
      <w:r>
        <w:t xml:space="preserve">Основные выводы по всем случаям: наиболее частая причина аварий — нарушение последовательности подготовки к запуску; визуальная проверка арматуры «по месту» предотвращает значительную часть происшествий; нормальные показания отдельных приборов не гарантируют исправность оборудования в целом; запуск без удаления воздуха практически всегда сопровождается шумом, вибрацией и кавитацией.</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2026-07-11T10:21:18.763Z</dcterms:created>
  <dcterms:modified xsi:type="dcterms:W3CDTF">2026-07-11T10:21:18.776Z</dcterms:modified>
</cp:coreProperties>
</file>

<file path=docProps/custom.xml><?xml version="1.0" encoding="utf-8"?>
<Properties xmlns="http://schemas.openxmlformats.org/officeDocument/2006/custom-properties" xmlns:vt="http://schemas.openxmlformats.org/officeDocument/2006/docPropsVTypes"/>
</file>