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9F431F" w:rsidP="009F431F">
      <w:pPr>
        <w:jc w:val="center"/>
      </w:pPr>
      <w:r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>Данная инструкция описывает действия оператора установки неразрушающего контроля насосно-компрессорных труб 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F72ED9" w:rsidP="00E9694C">
      <w:r>
        <w:rPr>
          <w:noProof/>
        </w:rPr>
        <w:drawing>
          <wp:inline distT="0" distB="0" distL="0" distR="0">
            <wp:extent cx="4400550" cy="313372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55" cy="31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53687A" w:rsidP="00BB6D57">
      <w:pPr>
        <w:pStyle w:val="3"/>
        <w:rPr>
          <w:lang w:val="en-US"/>
        </w:rPr>
      </w:pPr>
      <w:r>
        <w:t xml:space="preserve">Меню </w:t>
      </w:r>
      <w:r w:rsidR="00BB6D57">
        <w:rPr>
          <w:lang w:val="en-US"/>
        </w:rPr>
        <w:t>“</w:t>
      </w:r>
      <w:r w:rsidR="00BB6D57">
        <w:t>Файл</w:t>
      </w:r>
      <w:r w:rsidR="00BB6D57"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Default="0053687A" w:rsidP="0053687A">
      <w:pPr>
        <w:pStyle w:val="3"/>
      </w:pPr>
      <w:r>
        <w:t xml:space="preserve"> Меню </w:t>
      </w:r>
      <w:r w:rsidR="00F605C7" w:rsidRPr="00F95D6F">
        <w:rPr>
          <w:lang w:val="en-US"/>
        </w:rPr>
        <w:t>“</w:t>
      </w:r>
      <w:r w:rsidR="00F605C7" w:rsidRPr="00F95D6F">
        <w:t>Типоразмер</w:t>
      </w:r>
      <w:r w:rsidR="00F605C7" w:rsidRPr="00F95D6F">
        <w:rPr>
          <w:lang w:val="en-US"/>
        </w:rPr>
        <w:t>”</w:t>
      </w:r>
    </w:p>
    <w:p w:rsidR="00F74D33" w:rsidRPr="0053687A" w:rsidRDefault="00F74D33" w:rsidP="00F74D33">
      <w:pPr>
        <w:rPr>
          <w:color w:val="FF0000"/>
        </w:rPr>
      </w:pPr>
      <w:r>
        <w:t xml:space="preserve">При подтверждении </w:t>
      </w:r>
      <w:r w:rsidR="0053687A">
        <w:t>изменения</w:t>
      </w:r>
      <w:r>
        <w:t xml:space="preserve"> данных будет открываться диалоговое окно для ввода пароля</w:t>
      </w:r>
      <w:r w:rsidR="005A156C">
        <w:t xml:space="preserve"> </w:t>
      </w:r>
      <w:r>
        <w:t>(</w:t>
      </w:r>
      <w:proofErr w:type="gramStart"/>
      <w:r>
        <w:t>см</w:t>
      </w:r>
      <w:proofErr w:type="gramEnd"/>
      <w:r>
        <w:t>. рис. 3.1)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5A156C" w:rsidRDefault="005A156C" w:rsidP="00F74D33"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Pr="00C214FA" w:rsidRDefault="005A156C" w:rsidP="005A156C">
      <w:pPr>
        <w:pStyle w:val="a7"/>
        <w:ind w:left="4648"/>
      </w:pPr>
      <w:r>
        <w:t>Рисунок 3.1</w:t>
      </w:r>
    </w:p>
    <w:p w:rsidR="005A156C" w:rsidRPr="00F74D33" w:rsidRDefault="005A156C" w:rsidP="00F74D33"/>
    <w:p w:rsidR="00F605C7" w:rsidRDefault="00F605C7" w:rsidP="0053687A">
      <w:pPr>
        <w:pStyle w:val="3"/>
        <w:numPr>
          <w:ilvl w:val="3"/>
          <w:numId w:val="12"/>
        </w:numPr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lastRenderedPageBreak/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53687A">
      <w:pPr>
        <w:pStyle w:val="3"/>
        <w:numPr>
          <w:ilvl w:val="3"/>
          <w:numId w:val="12"/>
        </w:numPr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1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t>Определяет среднее значение входных данных</w:t>
      </w:r>
    </w:p>
    <w:p w:rsidR="00674F2F" w:rsidRDefault="00EF3A99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CB61A6" w:rsidP="00CB61A6">
      <w:pPr>
        <w:pStyle w:val="a7"/>
        <w:ind w:left="4648"/>
        <w:rPr>
          <w:lang w:val="en-US"/>
        </w:rPr>
      </w:pPr>
      <w:r>
        <w:t>Рисунок 5</w:t>
      </w:r>
    </w:p>
    <w:p w:rsidR="00B1458D" w:rsidRDefault="00B1458D" w:rsidP="000C17DE">
      <w:pPr>
        <w:pStyle w:val="3"/>
        <w:numPr>
          <w:ilvl w:val="0"/>
          <w:numId w:val="0"/>
        </w:numPr>
        <w:ind w:left="1965"/>
        <w:jc w:val="left"/>
      </w:pPr>
      <w:r>
        <w:t>Настройки цифрового фильтра</w:t>
      </w:r>
      <w:r>
        <w:rPr>
          <w:noProof/>
        </w:rPr>
        <w:drawing>
          <wp:inline distT="0" distB="0" distL="0" distR="0">
            <wp:extent cx="3390900" cy="1400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Pr="0060761B" w:rsidRDefault="00B1458D" w:rsidP="00B1458D">
      <w:pPr>
        <w:pStyle w:val="a7"/>
        <w:ind w:left="4648"/>
      </w:pPr>
      <w:r>
        <w:t>Рисунок 5.1</w:t>
      </w:r>
    </w:p>
    <w:p w:rsidR="000C17DE" w:rsidRDefault="000C17DE" w:rsidP="000C17DE">
      <w:pPr>
        <w:pStyle w:val="3"/>
        <w:numPr>
          <w:ilvl w:val="3"/>
          <w:numId w:val="12"/>
        </w:numPr>
      </w:pPr>
      <w:r>
        <w:t>Частота отсечения фильтра – позволяет изменять частоту среза входного сигнала</w:t>
      </w:r>
    </w:p>
    <w:p w:rsidR="000C17DE" w:rsidRDefault="000C17DE" w:rsidP="00955204">
      <w:pPr>
        <w:pStyle w:val="3"/>
        <w:numPr>
          <w:ilvl w:val="3"/>
          <w:numId w:val="12"/>
        </w:numPr>
      </w:pPr>
      <w:r>
        <w:lastRenderedPageBreak/>
        <w:t>Тип фильтра – позволяет изменить тип фильтра с низкочастотного на полосовой и обратн</w:t>
      </w:r>
      <w:proofErr w:type="gramStart"/>
      <w:r>
        <w:t>о(</w:t>
      </w:r>
      <w:proofErr w:type="gramEnd"/>
      <w:r>
        <w:t>см. рис.5.1 и рис.5.2)</w:t>
      </w:r>
    </w:p>
    <w:p w:rsidR="000C17DE" w:rsidRDefault="00955204" w:rsidP="00955204">
      <w:pPr>
        <w:pStyle w:val="3"/>
        <w:numPr>
          <w:ilvl w:val="3"/>
          <w:numId w:val="12"/>
        </w:numPr>
      </w:pPr>
      <w:r>
        <w:t xml:space="preserve">Включение фильтра – </w:t>
      </w:r>
    </w:p>
    <w:p w:rsidR="00B1458D" w:rsidRDefault="00B1458D" w:rsidP="00955204">
      <w:pPr>
        <w:pStyle w:val="3"/>
        <w:numPr>
          <w:ilvl w:val="0"/>
          <w:numId w:val="0"/>
        </w:numPr>
        <w:ind w:left="1965"/>
      </w:pPr>
      <w:r>
        <w:rPr>
          <w:noProof/>
        </w:rPr>
        <w:drawing>
          <wp:inline distT="0" distB="0" distL="0" distR="0">
            <wp:extent cx="3338286" cy="14001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86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B1458D" w:rsidP="00B1458D">
      <w:pPr>
        <w:pStyle w:val="a7"/>
        <w:ind w:left="4648"/>
      </w:pPr>
      <w:r>
        <w:t>Рисунок 5.2</w:t>
      </w:r>
    </w:p>
    <w:p w:rsidR="00955204" w:rsidRDefault="00955204" w:rsidP="00955204">
      <w:pPr>
        <w:pStyle w:val="3"/>
        <w:numPr>
          <w:ilvl w:val="3"/>
          <w:numId w:val="12"/>
        </w:numPr>
      </w:pPr>
      <w:r>
        <w:t>Средняя частота фильтра</w:t>
      </w:r>
    </w:p>
    <w:p w:rsidR="00955204" w:rsidRPr="00955204" w:rsidRDefault="00955204" w:rsidP="00955204">
      <w:pPr>
        <w:pStyle w:val="3"/>
        <w:numPr>
          <w:ilvl w:val="3"/>
          <w:numId w:val="12"/>
        </w:numPr>
      </w:pPr>
      <w:r>
        <w:t>Ширина пропускания фильтра</w:t>
      </w:r>
    </w:p>
    <w:p w:rsidR="0060761B" w:rsidRPr="0060761B" w:rsidRDefault="0060761B" w:rsidP="0060761B"/>
    <w:p w:rsidR="00F202BC" w:rsidRDefault="00F202BC" w:rsidP="0053687A">
      <w:pPr>
        <w:pStyle w:val="3"/>
      </w:pPr>
      <w:r>
        <w:t>Корректировка датчиков (</w:t>
      </w:r>
      <w:proofErr w:type="gramStart"/>
      <w:r>
        <w:t>см</w:t>
      </w:r>
      <w:proofErr w:type="gramEnd"/>
      <w:r>
        <w:t>. рис. 6)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дефектоскоп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структура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17030" w:rsidRDefault="00F17030" w:rsidP="00F202BC">
      <w:r>
        <w:rPr>
          <w:noProof/>
        </w:rPr>
        <w:drawing>
          <wp:inline distT="0" distB="0" distL="0" distR="0">
            <wp:extent cx="2643187" cy="842963"/>
            <wp:effectExtent l="19050" t="0" r="47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7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F17030" w:rsidP="00F17030">
      <w:pPr>
        <w:pStyle w:val="a7"/>
        <w:ind w:left="4648"/>
      </w:pPr>
      <w:r>
        <w:t>Рисунок 6</w:t>
      </w:r>
    </w:p>
    <w:p w:rsidR="009F4E1F" w:rsidRDefault="009F4E1F" w:rsidP="0053687A">
      <w:pPr>
        <w:pStyle w:val="3"/>
        <w:numPr>
          <w:ilvl w:val="3"/>
          <w:numId w:val="12"/>
        </w:numPr>
      </w:pPr>
      <w:r>
        <w:t>Создать типоразмер</w:t>
      </w:r>
    </w:p>
    <w:p w:rsidR="009F4E1F" w:rsidRDefault="00D87354" w:rsidP="009F4E1F">
      <w:r>
        <w:t>Создаёт новый типоразмер с текущими параметрами</w:t>
      </w:r>
      <w:r w:rsidR="00FB33B0">
        <w:t xml:space="preserve"> (</w:t>
      </w:r>
      <w:proofErr w:type="gramStart"/>
      <w:r w:rsidR="00FB33B0">
        <w:t>см</w:t>
      </w:r>
      <w:proofErr w:type="gramEnd"/>
      <w:r w:rsidR="00FB33B0">
        <w:t>. рис 7)</w:t>
      </w:r>
      <w:r>
        <w:t>.</w:t>
      </w:r>
    </w:p>
    <w:p w:rsidR="00FB33B0" w:rsidRDefault="00FB33B0" w:rsidP="009F4E1F"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7</w:t>
      </w:r>
    </w:p>
    <w:p w:rsidR="00FB33B0" w:rsidRDefault="00FB33B0" w:rsidP="0053687A">
      <w:pPr>
        <w:pStyle w:val="3"/>
        <w:numPr>
          <w:ilvl w:val="3"/>
          <w:numId w:val="12"/>
        </w:numPr>
      </w:pPr>
      <w:r>
        <w:t>Удалить типоразмер</w:t>
      </w:r>
    </w:p>
    <w:p w:rsidR="00FB33B0" w:rsidRDefault="00FB33B0" w:rsidP="00FB33B0">
      <w:r>
        <w:t>Удаляет текущий типоразмер (</w:t>
      </w:r>
      <w:proofErr w:type="gramStart"/>
      <w:r>
        <w:t>см</w:t>
      </w:r>
      <w:proofErr w:type="gramEnd"/>
      <w:r>
        <w:t>. рис 8)</w:t>
      </w:r>
    </w:p>
    <w:p w:rsidR="00FB33B0" w:rsidRDefault="00CF3A70" w:rsidP="00FB33B0"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8</w:t>
      </w:r>
    </w:p>
    <w:p w:rsidR="00FB33B0" w:rsidRDefault="00FB33B0" w:rsidP="00FB33B0"/>
    <w:p w:rsidR="00FB33B0" w:rsidRDefault="0053687A" w:rsidP="0053687A">
      <w:pPr>
        <w:pStyle w:val="3"/>
      </w:pPr>
      <w:r>
        <w:t xml:space="preserve">Меню </w:t>
      </w: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lastRenderedPageBreak/>
        <w:t>Сохранить координаты окна</w:t>
      </w:r>
    </w:p>
    <w:p w:rsidR="0053687A" w:rsidRDefault="0053687A" w:rsidP="0053687A">
      <w:r>
        <w:t>Сохраняет текущий размер и координаты окна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Просмотр дискретных портов</w:t>
      </w:r>
    </w:p>
    <w:p w:rsidR="0053687A" w:rsidRDefault="00D50489" w:rsidP="00D50489">
      <w:r>
        <w:t>Позволяет смотреть  состояние входных и выходных портов (</w:t>
      </w:r>
      <w:proofErr w:type="gramStart"/>
      <w:r>
        <w:t>см</w:t>
      </w:r>
      <w:proofErr w:type="gramEnd"/>
      <w:r>
        <w:t>. рис. 8)</w:t>
      </w:r>
    </w:p>
    <w:p w:rsidR="00D50489" w:rsidRDefault="00D50489" w:rsidP="00D50489">
      <w:r>
        <w:t>Также имеется возможность изменение состояния выходных портов (если программа находится в режиме останова)</w:t>
      </w:r>
    </w:p>
    <w:p w:rsidR="00D50489" w:rsidRDefault="00D50489" w:rsidP="00D50489">
      <w:r w:rsidRPr="00316C91">
        <w:rPr>
          <w:b/>
        </w:rPr>
        <w:t>ВНИМАНИЕ!</w:t>
      </w:r>
      <w:r>
        <w:rPr>
          <w:b/>
        </w:rPr>
        <w:t xml:space="preserve"> </w:t>
      </w:r>
      <w:r w:rsidR="00C868B2">
        <w:rPr>
          <w:b/>
        </w:rPr>
        <w:t>Изменение состояния выходных портов может привести к поломке оборудования</w:t>
      </w:r>
    </w:p>
    <w:p w:rsidR="00D50489" w:rsidRDefault="00D50489" w:rsidP="00D50489">
      <w:r>
        <w:rPr>
          <w:noProof/>
        </w:rPr>
        <w:drawing>
          <wp:inline distT="0" distB="0" distL="0" distR="0">
            <wp:extent cx="3600450" cy="179546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89" w:rsidRDefault="00D50489" w:rsidP="00D50489">
      <w:pPr>
        <w:pStyle w:val="a7"/>
        <w:ind w:left="3403"/>
      </w:pPr>
      <w:r>
        <w:t>Рисунок 8</w:t>
      </w:r>
    </w:p>
    <w:p w:rsidR="00D50489" w:rsidRDefault="00C868B2" w:rsidP="0053687A">
      <w:pPr>
        <w:pStyle w:val="3"/>
        <w:numPr>
          <w:ilvl w:val="3"/>
          <w:numId w:val="12"/>
        </w:numPr>
      </w:pPr>
      <w:r>
        <w:t>Просмотр сообщений</w:t>
      </w:r>
    </w:p>
    <w:p w:rsidR="00C868B2" w:rsidRDefault="00C868B2" w:rsidP="00C868B2">
      <w:r>
        <w:t>Выводит служебные сообщения программы (</w:t>
      </w:r>
      <w:proofErr w:type="gramStart"/>
      <w:r>
        <w:t>см</w:t>
      </w:r>
      <w:proofErr w:type="gramEnd"/>
      <w:r>
        <w:t>. рис. 9)</w:t>
      </w:r>
    </w:p>
    <w:p w:rsidR="00C868B2" w:rsidRDefault="00C868B2" w:rsidP="00C868B2">
      <w:r>
        <w:rPr>
          <w:noProof/>
        </w:rPr>
        <w:drawing>
          <wp:inline distT="0" distB="0" distL="0" distR="0">
            <wp:extent cx="2389899" cy="10048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868B2" w:rsidP="00C868B2">
      <w:pPr>
        <w:pStyle w:val="a7"/>
        <w:ind w:left="3403"/>
      </w:pPr>
      <w:r>
        <w:t>Рисунок 9</w:t>
      </w:r>
    </w:p>
    <w:p w:rsidR="00C868B2" w:rsidRDefault="00C868B2" w:rsidP="00C868B2"/>
    <w:p w:rsidR="0053687A" w:rsidRDefault="00C868B2" w:rsidP="00BC4413">
      <w:pPr>
        <w:pStyle w:val="3"/>
      </w:pPr>
      <w:r>
        <w:t xml:space="preserve">Меню </w:t>
      </w:r>
      <w:r>
        <w:rPr>
          <w:lang w:val="en-US"/>
        </w:rPr>
        <w:t>“</w:t>
      </w:r>
      <w:r>
        <w:t>Установка</w:t>
      </w:r>
      <w:r>
        <w:rPr>
          <w:lang w:val="en-US"/>
        </w:rPr>
        <w:t>”</w:t>
      </w:r>
    </w:p>
    <w:p w:rsidR="00BC4413" w:rsidRDefault="00BC4413" w:rsidP="00BC4413">
      <w:pPr>
        <w:rPr>
          <w:color w:val="FF0000"/>
        </w:rPr>
      </w:pPr>
      <w:r>
        <w:t>При подтверждении изменения данных будет открываться диалоговое окно для ввода пароля (</w:t>
      </w:r>
      <w:proofErr w:type="gramStart"/>
      <w:r>
        <w:t>см</w:t>
      </w:r>
      <w:proofErr w:type="gramEnd"/>
      <w:r>
        <w:t xml:space="preserve">. рис. 10). </w:t>
      </w:r>
      <w:r w:rsidRPr="00BC4413">
        <w:rPr>
          <w:color w:val="FF0000"/>
        </w:rPr>
        <w:t>Пароль – “</w:t>
      </w:r>
      <w:r>
        <w:rPr>
          <w:color w:val="FF0000"/>
        </w:rPr>
        <w:t>5678</w:t>
      </w:r>
      <w:r w:rsidRPr="00BC4413">
        <w:rPr>
          <w:color w:val="FF0000"/>
        </w:rPr>
        <w:t>”</w:t>
      </w:r>
    </w:p>
    <w:p w:rsidR="00BC4413" w:rsidRDefault="00BC4413" w:rsidP="00BC441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10</w:t>
      </w:r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BC4413">
      <w:pPr>
        <w:pStyle w:val="3"/>
        <w:numPr>
          <w:ilvl w:val="3"/>
          <w:numId w:val="12"/>
        </w:numPr>
      </w:pPr>
      <w:r>
        <w:t>Дискретная плата</w:t>
      </w:r>
    </w:p>
    <w:p w:rsidR="00BC4413" w:rsidRDefault="00BC4413" w:rsidP="00BC4413">
      <w:pPr>
        <w:pStyle w:val="3"/>
        <w:numPr>
          <w:ilvl w:val="4"/>
          <w:numId w:val="12"/>
        </w:numPr>
      </w:pPr>
      <w:proofErr w:type="spellStart"/>
      <w:r>
        <w:t>Дискриптор</w:t>
      </w:r>
      <w:proofErr w:type="spellEnd"/>
      <w:r>
        <w:t xml:space="preserve"> дискретной платы</w:t>
      </w:r>
    </w:p>
    <w:p w:rsidR="00BC4413" w:rsidRDefault="00BC4413" w:rsidP="00BC4413">
      <w:r>
        <w:t>Идентифицирует адрес платы в операционной системе (</w:t>
      </w:r>
      <w:proofErr w:type="gramStart"/>
      <w:r>
        <w:t>см</w:t>
      </w:r>
      <w:proofErr w:type="gramEnd"/>
      <w:r>
        <w:t>. рис 11)</w:t>
      </w:r>
    </w:p>
    <w:p w:rsidR="00BC4413" w:rsidRDefault="00BC4413" w:rsidP="00BC4413">
      <w:r>
        <w:rPr>
          <w:noProof/>
        </w:rPr>
        <w:lastRenderedPageBreak/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11</w:t>
      </w:r>
    </w:p>
    <w:p w:rsidR="00BC4413" w:rsidRDefault="00BC4413" w:rsidP="00BC4413">
      <w:pPr>
        <w:pStyle w:val="3"/>
        <w:numPr>
          <w:ilvl w:val="4"/>
          <w:numId w:val="12"/>
        </w:numPr>
      </w:pPr>
      <w:r>
        <w:t>Входные порты</w:t>
      </w:r>
    </w:p>
    <w:p w:rsidR="00BC4413" w:rsidRDefault="003A1591" w:rsidP="003A1591">
      <w:r>
        <w:t>Определяет смещения входных портов (</w:t>
      </w:r>
      <w:proofErr w:type="gramStart"/>
      <w:r>
        <w:t>см</w:t>
      </w:r>
      <w:proofErr w:type="gramEnd"/>
      <w:r>
        <w:t>. рис. 12)</w:t>
      </w:r>
    </w:p>
    <w:p w:rsidR="003A1591" w:rsidRDefault="003A1591" w:rsidP="003A1591">
      <w:r>
        <w:rPr>
          <w:noProof/>
        </w:rPr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3A1591" w:rsidP="003A1591">
      <w:pPr>
        <w:pStyle w:val="a7"/>
        <w:ind w:left="3403"/>
      </w:pPr>
      <w:r>
        <w:t>Рисунок 12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Выходные порты</w:t>
      </w:r>
    </w:p>
    <w:p w:rsidR="000433E4" w:rsidRDefault="000433E4" w:rsidP="000433E4">
      <w:r>
        <w:t>Определяет смещения выходных портов (</w:t>
      </w:r>
      <w:proofErr w:type="gramStart"/>
      <w:r>
        <w:t>см</w:t>
      </w:r>
      <w:proofErr w:type="gramEnd"/>
      <w:r>
        <w:t>. рис. 13)</w:t>
      </w:r>
    </w:p>
    <w:p w:rsidR="000433E4" w:rsidRDefault="000433E4" w:rsidP="000433E4"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0433E4" w:rsidP="000433E4">
      <w:pPr>
        <w:pStyle w:val="a7"/>
        <w:ind w:left="3403"/>
      </w:pPr>
      <w:r>
        <w:t>Рисунок 13</w:t>
      </w:r>
    </w:p>
    <w:p w:rsidR="000433E4" w:rsidRDefault="000433E4" w:rsidP="000433E4">
      <w:pPr>
        <w:pStyle w:val="3"/>
        <w:numPr>
          <w:ilvl w:val="3"/>
          <w:numId w:val="12"/>
        </w:numPr>
      </w:pPr>
      <w:r>
        <w:t>Аналоговая плата (</w:t>
      </w:r>
      <w:proofErr w:type="gramStart"/>
      <w:r>
        <w:t>см</w:t>
      </w:r>
      <w:proofErr w:type="gramEnd"/>
      <w:r>
        <w:t>. рис. 14)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Канал</w:t>
      </w:r>
    </w:p>
    <w:p w:rsidR="000433E4" w:rsidRDefault="000433E4" w:rsidP="000433E4">
      <w:r>
        <w:t xml:space="preserve">Номер канала 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Усиление</w:t>
      </w:r>
    </w:p>
    <w:p w:rsidR="000433E4" w:rsidRDefault="000433E4" w:rsidP="000433E4">
      <w:r>
        <w:t>Усиление канала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Частота</w:t>
      </w:r>
    </w:p>
    <w:p w:rsidR="000433E4" w:rsidRDefault="000433E4" w:rsidP="000433E4">
      <w:r>
        <w:t>Частота сбора канала</w:t>
      </w:r>
    </w:p>
    <w:p w:rsidR="000D01DD" w:rsidRDefault="000D01DD" w:rsidP="000433E4">
      <w:r>
        <w:rPr>
          <w:noProof/>
        </w:rPr>
        <w:lastRenderedPageBreak/>
        <w:drawing>
          <wp:inline distT="0" distB="0" distL="0" distR="0">
            <wp:extent cx="1828800" cy="18818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3"/>
          <w:numId w:val="12"/>
        </w:numPr>
      </w:pPr>
      <w:r>
        <w:t>Цвета (</w:t>
      </w:r>
      <w:proofErr w:type="gramStart"/>
      <w:r>
        <w:t>см</w:t>
      </w:r>
      <w:proofErr w:type="gramEnd"/>
      <w:r>
        <w:t>. рис. 15)</w:t>
      </w:r>
    </w:p>
    <w:p w:rsidR="000D01DD" w:rsidRDefault="000D01DD" w:rsidP="000D01DD">
      <w:r>
        <w:rPr>
          <w:noProof/>
        </w:rPr>
        <w:drawing>
          <wp:inline distT="0" distB="0" distL="0" distR="0">
            <wp:extent cx="5339080" cy="2566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>
        <w:rPr>
          <w:lang w:val="en-US"/>
        </w:rPr>
        <w:t>“</w:t>
      </w:r>
      <w:r>
        <w:t>Применить</w:t>
      </w:r>
      <w:r>
        <w:rPr>
          <w:lang w:val="en-US"/>
        </w:rPr>
        <w:t xml:space="preserve">” – </w:t>
      </w:r>
      <w:r>
        <w:t>сохраняет изменённые настройки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Закрыть</w:t>
      </w:r>
      <w:r w:rsidRPr="000D01DD">
        <w:t>”</w:t>
      </w:r>
      <w:r>
        <w:t xml:space="preserve"> – закрывает окно без сохранения внесённых изменений.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Встроенные настройки</w:t>
      </w:r>
      <w:r w:rsidRPr="000D01DD">
        <w:t>”</w:t>
      </w:r>
      <w:r>
        <w:t xml:space="preserve"> – восстанавливает первоначальные цвета.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При щелчке правой кнопки мыши на образце цвета открывается </w:t>
      </w:r>
      <w:r w:rsidR="00DE7378">
        <w:t xml:space="preserve">окно с возможностью выбора </w:t>
      </w:r>
      <w:r w:rsidR="00687279">
        <w:t>цвет</w:t>
      </w:r>
      <w:proofErr w:type="gramStart"/>
      <w:r w:rsidR="00687279">
        <w:t>а</w:t>
      </w:r>
      <w:r w:rsidR="00DE7378">
        <w:t>(</w:t>
      </w:r>
      <w:proofErr w:type="gramEnd"/>
      <w:r w:rsidR="00DE7378">
        <w:t>см. рис. 15)</w:t>
      </w:r>
    </w:p>
    <w:p w:rsidR="00DE7378" w:rsidRDefault="00DE7378" w:rsidP="00DE7378"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DE7378" w:rsidP="00DE7378">
      <w:pPr>
        <w:pStyle w:val="a7"/>
        <w:ind w:left="3403"/>
      </w:pPr>
      <w:r>
        <w:lastRenderedPageBreak/>
        <w:t>Рисунок 15</w:t>
      </w:r>
    </w:p>
    <w:p w:rsidR="00DE7378" w:rsidRDefault="00687279" w:rsidP="00687279">
      <w:pPr>
        <w:pStyle w:val="2"/>
      </w:pPr>
      <w:r>
        <w:t>Описание панели управления</w:t>
      </w:r>
    </w:p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687279" w:rsidP="00687279">
      <w:pPr>
        <w:pStyle w:val="3"/>
      </w:pPr>
      <w:r>
        <w:t>Кнопки</w:t>
      </w:r>
    </w:p>
    <w:p w:rsidR="00474096" w:rsidRPr="00E5642E" w:rsidRDefault="00474096" w:rsidP="00474096">
      <w:pPr>
        <w:pStyle w:val="3"/>
        <w:numPr>
          <w:ilvl w:val="3"/>
          <w:numId w:val="12"/>
        </w:numPr>
        <w:rPr>
          <w:lang w:val="en-US"/>
        </w:rPr>
      </w:pPr>
      <w:r w:rsidRPr="00E5642E">
        <w:rPr>
          <w:lang w:val="en-US"/>
        </w:rPr>
        <w:t xml:space="preserve">“F4 </w:t>
      </w:r>
      <w:r>
        <w:t>Цикл</w:t>
      </w:r>
      <w:r w:rsidRPr="00E5642E">
        <w:rPr>
          <w:lang w:val="en-US"/>
        </w:rPr>
        <w:t>”</w:t>
      </w:r>
      <w:r>
        <w:t>Включает режим измерения</w:t>
      </w:r>
    </w:p>
    <w:p w:rsidR="00F72ED9" w:rsidRDefault="00F72ED9" w:rsidP="00F72ED9">
      <w:pPr>
        <w:pStyle w:val="3"/>
        <w:numPr>
          <w:ilvl w:val="3"/>
          <w:numId w:val="12"/>
        </w:numPr>
      </w:pPr>
      <w:r>
        <w:rPr>
          <w:lang w:val="en-US"/>
        </w:rPr>
        <w:t xml:space="preserve">“F11 </w:t>
      </w:r>
      <w:r>
        <w:t>Повтор</w:t>
      </w:r>
      <w:r>
        <w:rPr>
          <w:lang w:val="en-US"/>
        </w:rPr>
        <w:t>”</w:t>
      </w:r>
    </w:p>
    <w:p w:rsidR="00F72ED9" w:rsidRPr="00F72ED9" w:rsidRDefault="00F72ED9" w:rsidP="00F72ED9">
      <w:r>
        <w:t xml:space="preserve">Позволяет в режиме </w:t>
      </w:r>
      <w:r w:rsidRPr="00F72ED9">
        <w:t>“</w:t>
      </w:r>
      <w:r>
        <w:t>Прерывание на повтор</w:t>
      </w:r>
      <w:r w:rsidRPr="00F72ED9">
        <w:t>”</w:t>
      </w:r>
      <w:r>
        <w:t xml:space="preserve"> произвести повторное измерение без передачи результатов измерения в АСУ.</w:t>
      </w:r>
    </w:p>
    <w:p w:rsidR="00F72ED9" w:rsidRPr="00F72ED9" w:rsidRDefault="00F72ED9" w:rsidP="00474096"/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“Esc </w:t>
      </w:r>
      <w:r>
        <w:t>Стоп</w:t>
      </w:r>
      <w:r>
        <w:rPr>
          <w:lang w:val="en-US"/>
        </w:rPr>
        <w:t>”</w:t>
      </w:r>
    </w:p>
    <w:p w:rsidR="00474096" w:rsidRDefault="00474096" w:rsidP="001F0C02">
      <w:r>
        <w:t>Выходит из режима измерения</w:t>
      </w:r>
    </w:p>
    <w:p w:rsidR="00474096" w:rsidRDefault="006F278D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“F8 </w:t>
      </w:r>
      <w:r>
        <w:t>Норма</w:t>
      </w:r>
      <w:r>
        <w:rPr>
          <w:lang w:val="en-US"/>
        </w:rPr>
        <w:t>”</w:t>
      </w:r>
    </w:p>
    <w:p w:rsidR="006F278D" w:rsidRDefault="006F278D" w:rsidP="006F278D">
      <w:r>
        <w:t xml:space="preserve">При </w:t>
      </w:r>
      <w:proofErr w:type="spellStart"/>
      <w:r>
        <w:t>браковании</w:t>
      </w:r>
      <w:proofErr w:type="spellEnd"/>
      <w:r>
        <w:t xml:space="preserve"> штанги установкой оператор может переопределить результат как годный</w:t>
      </w:r>
      <w:r w:rsidR="00544074">
        <w:t xml:space="preserve"> (при </w:t>
      </w:r>
      <w:proofErr w:type="spellStart"/>
      <w:r w:rsidR="00544074">
        <w:t>выбраном</w:t>
      </w:r>
      <w:proofErr w:type="spellEnd"/>
      <w:r w:rsidR="00544074">
        <w:t xml:space="preserve"> </w:t>
      </w:r>
      <w:proofErr w:type="spellStart"/>
      <w:r w:rsidR="00544074">
        <w:t>чекбоксе</w:t>
      </w:r>
      <w:proofErr w:type="spellEnd"/>
      <w:r w:rsidR="00544074">
        <w:t xml:space="preserve"> </w:t>
      </w:r>
      <w:r w:rsidR="00544074" w:rsidRPr="00544074">
        <w:t>“</w:t>
      </w:r>
      <w:r w:rsidR="00544074">
        <w:t>Прерывание на просмотр</w:t>
      </w:r>
      <w:r w:rsidR="00544074" w:rsidRPr="00544074">
        <w:t>”</w:t>
      </w:r>
      <w:r w:rsidR="00544074">
        <w:t>)</w:t>
      </w:r>
      <w:r>
        <w:t>.</w:t>
      </w:r>
    </w:p>
    <w:p w:rsidR="006F278D" w:rsidRDefault="006F278D" w:rsidP="006F278D">
      <w:pPr>
        <w:pStyle w:val="3"/>
      </w:pPr>
      <w:r>
        <w:t>Выпадающий список выбора типоразмера</w:t>
      </w:r>
    </w:p>
    <w:p w:rsidR="006F278D" w:rsidRDefault="006F278D" w:rsidP="006F278D">
      <w:r>
        <w:t>Выбор другого ранее настроенного типоразмера</w:t>
      </w:r>
    </w:p>
    <w:p w:rsidR="006F278D" w:rsidRDefault="00544074" w:rsidP="006F278D">
      <w:pPr>
        <w:pStyle w:val="3"/>
      </w:pPr>
      <w:proofErr w:type="spellStart"/>
      <w:r>
        <w:t>Чекбоксы</w:t>
      </w:r>
      <w:proofErr w:type="spellEnd"/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Прерывание на просмотр</w:t>
      </w:r>
      <w:r>
        <w:rPr>
          <w:lang w:val="en-US"/>
        </w:rPr>
        <w:t>”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t>Останавливает программу в конце цикла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дефектоскопа не будут учитываться в конечном результате.</w:t>
      </w:r>
    </w:p>
    <w:p w:rsidR="00544074" w:rsidRDefault="00544074" w:rsidP="00544074">
      <w:pPr>
        <w:pStyle w:val="3"/>
        <w:numPr>
          <w:ilvl w:val="3"/>
          <w:numId w:val="19"/>
        </w:numPr>
      </w:pP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структура не будут учитываться в конечном результате.</w:t>
      </w:r>
    </w:p>
    <w:p w:rsidR="00544074" w:rsidRDefault="007E2C27" w:rsidP="00F67558">
      <w:pPr>
        <w:pStyle w:val="2"/>
        <w:numPr>
          <w:ilvl w:val="0"/>
          <w:numId w:val="15"/>
        </w:numPr>
      </w:pPr>
      <w:r>
        <w:t>Режим детального просмотра результата измерений</w:t>
      </w:r>
    </w:p>
    <w:p w:rsidR="007E2C27" w:rsidRDefault="007E2C27" w:rsidP="007E2C27">
      <w:r>
        <w:t xml:space="preserve">При щелчке правой кнопки мыши в окне графика </w:t>
      </w:r>
      <w:r w:rsidRPr="007E2C27">
        <w:t>“</w:t>
      </w:r>
      <w:r>
        <w:t>Дефектоскоп</w:t>
      </w:r>
      <w:r w:rsidRPr="007E2C27">
        <w:t xml:space="preserve">” </w:t>
      </w:r>
      <w:r>
        <w:t>или</w:t>
      </w:r>
      <w:r w:rsidRPr="007E2C27">
        <w:t xml:space="preserve"> “</w:t>
      </w:r>
      <w:r>
        <w:t>Структура</w:t>
      </w:r>
      <w:r w:rsidRPr="007E2C27">
        <w:t>”</w:t>
      </w:r>
    </w:p>
    <w:p w:rsidR="007E2C27" w:rsidRPr="000079A9" w:rsidRDefault="007E2C27" w:rsidP="007E2C27">
      <w:r>
        <w:t>Открывается окно с детальным отображением результатов.</w:t>
      </w:r>
      <w:r w:rsidR="000079A9">
        <w:t xml:space="preserve"> Верхний график соответствует графику с главного окна, нижний часть графика</w:t>
      </w:r>
      <w:r w:rsidR="000D1CBC">
        <w:t xml:space="preserve"> (</w:t>
      </w:r>
      <w:proofErr w:type="gramStart"/>
      <w:r w:rsidR="000D1CBC">
        <w:t>см</w:t>
      </w:r>
      <w:proofErr w:type="gramEnd"/>
      <w:r w:rsidR="000D1CBC">
        <w:t>. рис. 16)</w:t>
      </w:r>
      <w:r w:rsidR="000079A9" w:rsidRPr="000079A9">
        <w:t>: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>начало соответствует смещению курсора (белая вертикальная линия</w:t>
      </w:r>
      <w:r w:rsidR="00627681" w:rsidRPr="00627681">
        <w:t xml:space="preserve"> </w:t>
      </w:r>
      <w:r w:rsidR="00627681">
        <w:t>верхний график</w:t>
      </w:r>
      <w:r>
        <w:t>)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 xml:space="preserve">конец графика смещение </w:t>
      </w:r>
      <w:r w:rsidR="00627681">
        <w:t xml:space="preserve">курсора </w:t>
      </w:r>
      <w:r>
        <w:t xml:space="preserve">плюс параметр </w:t>
      </w:r>
      <w:r w:rsidRPr="000079A9">
        <w:t>“</w:t>
      </w:r>
      <w:r>
        <w:t>Настройки</w:t>
      </w:r>
      <w:r w:rsidRPr="000079A9">
        <w:t>/</w:t>
      </w:r>
      <w:r>
        <w:t>Ширина кадра</w:t>
      </w:r>
      <w:r w:rsidRPr="000079A9">
        <w:t>”</w:t>
      </w:r>
    </w:p>
    <w:p w:rsidR="000D1CBC" w:rsidRDefault="00E5642E" w:rsidP="000D1CBC">
      <w:pPr>
        <w:pStyle w:val="a3"/>
        <w:ind w:left="1080" w:firstLine="0"/>
      </w:pPr>
      <w:r>
        <w:rPr>
          <w:noProof/>
        </w:rPr>
        <w:lastRenderedPageBreak/>
        <w:drawing>
          <wp:inline distT="0" distB="0" distL="0" distR="0">
            <wp:extent cx="4746960" cy="218122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1" cy="218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0D1CBC" w:rsidP="000D1CBC">
      <w:pPr>
        <w:pStyle w:val="a7"/>
        <w:ind w:left="3403"/>
      </w:pPr>
      <w:r>
        <w:t>Рисунок 16</w:t>
      </w:r>
    </w:p>
    <w:p w:rsidR="000D1CBC" w:rsidRDefault="00F67558" w:rsidP="00847435">
      <w:pPr>
        <w:pStyle w:val="2"/>
      </w:pPr>
      <w:r>
        <w:t>Меню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/</w:t>
      </w:r>
      <w:r>
        <w:t>Выход</w:t>
      </w:r>
      <w:r>
        <w:rPr>
          <w:lang w:val="en-US"/>
        </w:rPr>
        <w:t>”</w:t>
      </w:r>
      <w:r>
        <w:t xml:space="preserve"> – закрывает окно</w:t>
      </w: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Типоразмер</w:t>
      </w:r>
      <w:r>
        <w:rPr>
          <w:lang w:val="en-US"/>
        </w:rPr>
        <w:t>”</w:t>
      </w: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настройкам главного окна, за исключением, что изменённые параметры пересчитывают данные и перерисовывают детализирова</w:t>
      </w:r>
      <w:r w:rsidR="000319D5" w:rsidRPr="001123B8">
        <w:t>нное окно, но не главное окно и данные не сохраняются. При закрытии окна, если были изменения в настройках</w:t>
      </w:r>
      <w:r w:rsidR="001123B8" w:rsidRPr="001123B8">
        <w:t xml:space="preserve"> выводится окно с подтверждением сохранения изменённых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>. рис. 17</w:t>
      </w:r>
      <w:r w:rsidR="001123B8">
        <w:t>)</w:t>
      </w:r>
    </w:p>
    <w:p w:rsidR="000319D5" w:rsidRDefault="000319D5" w:rsidP="00F67558">
      <w:pPr>
        <w:pStyle w:val="3"/>
        <w:numPr>
          <w:ilvl w:val="0"/>
          <w:numId w:val="0"/>
        </w:numPr>
        <w:ind w:left="1965" w:hanging="1245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0319D5" w:rsidP="000319D5">
      <w:pPr>
        <w:pStyle w:val="a7"/>
        <w:ind w:left="3403"/>
      </w:pPr>
      <w:r>
        <w:t>Рисунок 17</w:t>
      </w:r>
    </w:p>
    <w:p w:rsidR="000319D5" w:rsidRDefault="001123B8" w:rsidP="001123B8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/</w:t>
      </w:r>
      <w:r>
        <w:t>Вид графика</w:t>
      </w:r>
      <w:r>
        <w:rPr>
          <w:lang w:val="en-US"/>
        </w:rPr>
        <w:t>”</w:t>
      </w:r>
      <w:r>
        <w:t xml:space="preserve"> </w:t>
      </w:r>
    </w:p>
    <w:p w:rsidR="001123B8" w:rsidRDefault="00057282" w:rsidP="001123B8">
      <w:pPr>
        <w:pStyle w:val="3"/>
      </w:pPr>
      <w:r>
        <w:t>Изменение отображения графика</w:t>
      </w:r>
      <w:r>
        <w:rPr>
          <w:lang w:val="en-US"/>
        </w:rPr>
        <w:t>:</w:t>
      </w:r>
      <w:r>
        <w:t xml:space="preserve"> </w:t>
      </w:r>
    </w:p>
    <w:p w:rsidR="00057282" w:rsidRDefault="00057282" w:rsidP="00E5642E">
      <w:r>
        <w:t xml:space="preserve">- абсолютные отображения сигнала </w:t>
      </w:r>
      <w:r w:rsidRPr="001123B8">
        <w:t>(</w:t>
      </w:r>
      <w:proofErr w:type="gramStart"/>
      <w:r w:rsidR="00E5642E">
        <w:t>см</w:t>
      </w:r>
      <w:proofErr w:type="gramEnd"/>
      <w:r w:rsidR="00E5642E">
        <w:t>. рис. 16</w:t>
      </w:r>
      <w:r>
        <w:t>)</w:t>
      </w:r>
    </w:p>
    <w:p w:rsidR="00057282" w:rsidRDefault="00057282" w:rsidP="00057282">
      <w:r>
        <w:t xml:space="preserve">-биполярное отображение сигнала </w:t>
      </w:r>
      <w:r w:rsidRPr="001123B8">
        <w:t>(</w:t>
      </w:r>
      <w:proofErr w:type="gramStart"/>
      <w:r>
        <w:t>см</w:t>
      </w:r>
      <w:proofErr w:type="gramEnd"/>
      <w:r>
        <w:t>. рис. 19)</w:t>
      </w:r>
    </w:p>
    <w:p w:rsidR="00057282" w:rsidRDefault="00E5642E" w:rsidP="00057282">
      <w:r>
        <w:rPr>
          <w:noProof/>
        </w:rPr>
        <w:drawing>
          <wp:inline distT="0" distB="0" distL="0" distR="0">
            <wp:extent cx="4223085" cy="2238375"/>
            <wp:effectExtent l="19050" t="0" r="601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5" cy="22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057282" w:rsidP="00057282">
      <w:pPr>
        <w:pStyle w:val="a7"/>
        <w:ind w:left="3403"/>
      </w:pPr>
      <w:r>
        <w:lastRenderedPageBreak/>
        <w:t>Рисунок 19</w:t>
      </w:r>
    </w:p>
    <w:p w:rsidR="001D0C0A" w:rsidRDefault="001D0C0A" w:rsidP="001D0C0A">
      <w:pPr>
        <w:pStyle w:val="2"/>
        <w:numPr>
          <w:ilvl w:val="0"/>
          <w:numId w:val="15"/>
        </w:numPr>
      </w:pPr>
      <w:r>
        <w:t>Окно сообщений</w:t>
      </w:r>
    </w:p>
    <w:p w:rsidR="00A36DBB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События</w:t>
      </w:r>
      <w:r w:rsidR="00847435" w:rsidRPr="00847435">
        <w:t>”</w:t>
      </w:r>
      <w:r w:rsidR="00847435">
        <w:t>. Вызывается из главного окна программы, мен</w:t>
      </w:r>
      <w:proofErr w:type="gramStart"/>
      <w:r w:rsidR="00847435">
        <w:t>ю-</w:t>
      </w:r>
      <w:proofErr w:type="gramEnd"/>
      <w:r w:rsidR="00847435" w:rsidRPr="004C0ECC">
        <w:t>“</w:t>
      </w:r>
      <w:r w:rsidR="00847435">
        <w:t>Настройки</w:t>
      </w:r>
      <w:r w:rsidR="00847435" w:rsidRPr="004C0ECC">
        <w:t>/</w:t>
      </w:r>
      <w:r w:rsidR="00847435">
        <w:t>Просмотр сообщений</w:t>
      </w:r>
      <w:r w:rsidR="00847435" w:rsidRPr="004C0ECC">
        <w:t>”</w:t>
      </w:r>
      <w:r w:rsidR="004C0ECC">
        <w:t xml:space="preserve">. </w:t>
      </w:r>
    </w:p>
    <w:p w:rsidR="00A36DBB" w:rsidRDefault="004C0ECC" w:rsidP="00A36DBB">
      <w:pPr>
        <w:pStyle w:val="a3"/>
        <w:numPr>
          <w:ilvl w:val="0"/>
          <w:numId w:val="23"/>
        </w:numPr>
      </w:pPr>
      <w:r>
        <w:t xml:space="preserve">Левый столбец – время между событиями в миллисекундах. </w:t>
      </w:r>
    </w:p>
    <w:p w:rsidR="00D837B9" w:rsidRDefault="004C0ECC" w:rsidP="00A36DBB">
      <w:pPr>
        <w:pStyle w:val="a3"/>
        <w:numPr>
          <w:ilvl w:val="0"/>
          <w:numId w:val="23"/>
        </w:numPr>
      </w:pPr>
      <w:r>
        <w:t>Правый столбец</w:t>
      </w:r>
      <w:r w:rsidR="00A36DBB">
        <w:t xml:space="preserve"> </w:t>
      </w:r>
      <w:r>
        <w:t>-</w:t>
      </w:r>
      <w:r w:rsidR="00A36DBB">
        <w:t xml:space="preserve"> </w:t>
      </w:r>
      <w:r>
        <w:t>наименование события.</w:t>
      </w:r>
    </w:p>
    <w:p w:rsidR="00A36DBB" w:rsidRPr="004C0ECC" w:rsidRDefault="00A36DBB" w:rsidP="00A36DBB">
      <w:pPr>
        <w:pStyle w:val="a3"/>
        <w:numPr>
          <w:ilvl w:val="0"/>
          <w:numId w:val="23"/>
        </w:numPr>
      </w:pPr>
      <w:r>
        <w:t>Верхняя строка – последнее событие.</w:t>
      </w:r>
    </w:p>
    <w:p w:rsidR="001D0C0A" w:rsidRDefault="001D0C0A" w:rsidP="001D0C0A"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D0C0A" w:rsidP="001D0C0A">
      <w:pPr>
        <w:pStyle w:val="a7"/>
        <w:ind w:left="3403"/>
      </w:pPr>
      <w:r>
        <w:t>Рисунок 20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</w:rPr>
      </w:pPr>
    </w:p>
    <w:p w:rsidR="00847435" w:rsidRDefault="00847435" w:rsidP="00847435">
      <w:pPr>
        <w:pStyle w:val="3"/>
        <w:numPr>
          <w:ilvl w:val="1"/>
          <w:numId w:val="12"/>
        </w:numPr>
      </w:pPr>
      <w:r>
        <w:t>Меню</w:t>
      </w:r>
    </w:p>
    <w:p w:rsidR="00847435" w:rsidRDefault="00847435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”</w:t>
      </w:r>
    </w:p>
    <w:p w:rsidR="00B049B0" w:rsidRDefault="00847435" w:rsidP="00847435">
      <w:pPr>
        <w:pStyle w:val="3"/>
        <w:numPr>
          <w:ilvl w:val="3"/>
          <w:numId w:val="12"/>
        </w:numPr>
      </w:pPr>
      <w:r w:rsidRPr="00CB0A99">
        <w:t>“</w:t>
      </w:r>
      <w:r>
        <w:t>Сохранить</w:t>
      </w:r>
      <w:r w:rsidRPr="00CB0A99">
        <w:t>”</w:t>
      </w:r>
      <w:r>
        <w:t xml:space="preserve"> </w:t>
      </w:r>
    </w:p>
    <w:p w:rsidR="00847435" w:rsidRPr="00CB0A99" w:rsidRDefault="00B049B0" w:rsidP="00B049B0">
      <w:r>
        <w:t xml:space="preserve"> С</w:t>
      </w:r>
      <w:r w:rsidR="00847435">
        <w:t xml:space="preserve">охраняет события в файле </w:t>
      </w:r>
      <w:r w:rsidR="00CB0A99" w:rsidRPr="00CB0A99">
        <w:t>“</w:t>
      </w:r>
      <w:proofErr w:type="spellStart"/>
      <w:r w:rsidR="0084656C">
        <w:t>рабочий_</w:t>
      </w:r>
      <w:r w:rsidR="00CB0A99">
        <w:t>каталог</w:t>
      </w:r>
      <w:r w:rsidR="00CB0A99" w:rsidRPr="00CB0A99">
        <w:t>\</w:t>
      </w:r>
      <w:r w:rsidR="00CB0A99">
        <w:rPr>
          <w:lang w:val="en-US"/>
        </w:rPr>
        <w:t>ArchiveEvent</w:t>
      </w:r>
      <w:proofErr w:type="spellEnd"/>
      <w:r w:rsidR="00CB0A99" w:rsidRPr="00CB0A99">
        <w:t>\</w:t>
      </w:r>
      <w:proofErr w:type="spellStart"/>
      <w:r w:rsidR="00CB0A99">
        <w:t>ггммддччММсс</w:t>
      </w:r>
      <w:proofErr w:type="spellEnd"/>
      <w:r w:rsidR="004C0ECC" w:rsidRPr="004C0ECC">
        <w:t>.</w:t>
      </w:r>
      <w:r w:rsidR="004C0ECC">
        <w:rPr>
          <w:lang w:val="en-US"/>
        </w:rPr>
        <w:t>txt</w:t>
      </w:r>
      <w:r w:rsidR="00CB0A99" w:rsidRPr="00CB0A99">
        <w:t>”</w:t>
      </w:r>
      <w:r w:rsidR="00CB0A99">
        <w:t>, где</w:t>
      </w:r>
      <w:r w:rsidR="00CB0A99" w:rsidRPr="00CB0A99">
        <w:t>:</w:t>
      </w:r>
    </w:p>
    <w:p w:rsidR="00CB0A99" w:rsidRDefault="0084656C" w:rsidP="00B049B0">
      <w:pPr>
        <w:pStyle w:val="a3"/>
        <w:numPr>
          <w:ilvl w:val="0"/>
          <w:numId w:val="22"/>
        </w:numPr>
      </w:pPr>
      <w:proofErr w:type="spellStart"/>
      <w:r>
        <w:t>рабочий_</w:t>
      </w:r>
      <w:r w:rsidR="00CB0A99">
        <w:t>каталог</w:t>
      </w:r>
      <w:proofErr w:type="spellEnd"/>
      <w:r w:rsidR="00CB0A99">
        <w:t xml:space="preserve"> – каталог, где записана программа</w:t>
      </w:r>
    </w:p>
    <w:p w:rsidR="0084656C" w:rsidRDefault="0084656C" w:rsidP="00B049B0">
      <w:pPr>
        <w:pStyle w:val="a3"/>
        <w:numPr>
          <w:ilvl w:val="0"/>
          <w:numId w:val="22"/>
        </w:numPr>
      </w:pPr>
      <w:proofErr w:type="spellStart"/>
      <w:r w:rsidRPr="0084656C">
        <w:rPr>
          <w:lang w:val="en-US"/>
        </w:rPr>
        <w:t>ArchiveEvent</w:t>
      </w:r>
      <w:proofErr w:type="spellEnd"/>
      <w:r>
        <w:t xml:space="preserve"> – каталог, куда помещаются сохранённые файлы  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Pr="004C0ECC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Выход – закрывает окно</w:t>
      </w:r>
    </w:p>
    <w:p w:rsidR="004C0ECC" w:rsidRPr="004C0ECC" w:rsidRDefault="004C0ECC" w:rsidP="004C0ECC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Сохранить координаты окна – сохраняет размер и местоположение окна на экране</w:t>
      </w:r>
    </w:p>
    <w:p w:rsidR="004C0ECC" w:rsidRPr="004C0ECC" w:rsidRDefault="004C0ECC" w:rsidP="004C0ECC">
      <w:pPr>
        <w:pStyle w:val="3"/>
        <w:numPr>
          <w:ilvl w:val="0"/>
          <w:numId w:val="0"/>
        </w:numPr>
        <w:ind w:left="2325"/>
      </w:pPr>
    </w:p>
    <w:p w:rsidR="00B049B0" w:rsidRPr="00CB0A99" w:rsidRDefault="00B049B0" w:rsidP="00CB0A99">
      <w:pPr>
        <w:pStyle w:val="3"/>
        <w:numPr>
          <w:ilvl w:val="0"/>
          <w:numId w:val="0"/>
        </w:numPr>
        <w:ind w:left="2325"/>
      </w:pPr>
    </w:p>
    <w:p w:rsidR="000D1CBC" w:rsidRPr="000079A9" w:rsidRDefault="000D1CBC" w:rsidP="000D1CBC">
      <w:pPr>
        <w:pStyle w:val="a3"/>
        <w:ind w:left="1080" w:firstLine="0"/>
      </w:pPr>
    </w:p>
    <w:p w:rsidR="000D01DD" w:rsidRPr="000433E4" w:rsidRDefault="000D01DD" w:rsidP="000433E4"/>
    <w:p w:rsidR="000433E4" w:rsidRDefault="000433E4" w:rsidP="000433E4"/>
    <w:p w:rsidR="000433E4" w:rsidRPr="000433E4" w:rsidRDefault="000433E4" w:rsidP="000433E4"/>
    <w:p w:rsidR="003A1591" w:rsidRPr="00FB33B0" w:rsidRDefault="003A1591" w:rsidP="003A1591"/>
    <w:p w:rsidR="00FB33B0" w:rsidRPr="009F4E1F" w:rsidRDefault="00FB33B0" w:rsidP="009F4E1F"/>
    <w:p w:rsidR="00F17030" w:rsidRPr="00F202BC" w:rsidRDefault="00F17030" w:rsidP="00F202BC"/>
    <w:p w:rsidR="00F202BC" w:rsidRPr="00F202BC" w:rsidRDefault="00F202BC" w:rsidP="00F202BC"/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1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079A9"/>
    <w:rsid w:val="000319D5"/>
    <w:rsid w:val="000433E4"/>
    <w:rsid w:val="00057282"/>
    <w:rsid w:val="00082340"/>
    <w:rsid w:val="000C17DE"/>
    <w:rsid w:val="000D01DD"/>
    <w:rsid w:val="000D1CBC"/>
    <w:rsid w:val="001123B8"/>
    <w:rsid w:val="001D0C0A"/>
    <w:rsid w:val="001D3B16"/>
    <w:rsid w:val="001F0C02"/>
    <w:rsid w:val="0026188F"/>
    <w:rsid w:val="003A1591"/>
    <w:rsid w:val="003A3F16"/>
    <w:rsid w:val="00474096"/>
    <w:rsid w:val="004C0ECC"/>
    <w:rsid w:val="0053687A"/>
    <w:rsid w:val="00544074"/>
    <w:rsid w:val="00581E81"/>
    <w:rsid w:val="005A156C"/>
    <w:rsid w:val="0060761B"/>
    <w:rsid w:val="00627681"/>
    <w:rsid w:val="00674F2F"/>
    <w:rsid w:val="00687279"/>
    <w:rsid w:val="006B42BA"/>
    <w:rsid w:val="006F278D"/>
    <w:rsid w:val="00782F15"/>
    <w:rsid w:val="007E2C27"/>
    <w:rsid w:val="0084656C"/>
    <w:rsid w:val="00847435"/>
    <w:rsid w:val="00955204"/>
    <w:rsid w:val="00997D3F"/>
    <w:rsid w:val="009F431F"/>
    <w:rsid w:val="009F4E1F"/>
    <w:rsid w:val="00A15401"/>
    <w:rsid w:val="00A36DBB"/>
    <w:rsid w:val="00A545B6"/>
    <w:rsid w:val="00AC7B82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F3A70"/>
    <w:rsid w:val="00D50489"/>
    <w:rsid w:val="00D54895"/>
    <w:rsid w:val="00D837B9"/>
    <w:rsid w:val="00D87354"/>
    <w:rsid w:val="00DE7378"/>
    <w:rsid w:val="00E4536A"/>
    <w:rsid w:val="00E5642E"/>
    <w:rsid w:val="00E9694C"/>
    <w:rsid w:val="00EF3A99"/>
    <w:rsid w:val="00F17030"/>
    <w:rsid w:val="00F17DDA"/>
    <w:rsid w:val="00F202BC"/>
    <w:rsid w:val="00F605C7"/>
    <w:rsid w:val="00F67558"/>
    <w:rsid w:val="00F72ED9"/>
    <w:rsid w:val="00F74D33"/>
    <w:rsid w:val="00FB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CFEF0-E559-48CE-98CA-801DA260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29</cp:revision>
  <dcterms:created xsi:type="dcterms:W3CDTF">2018-12-27T08:25:00Z</dcterms:created>
  <dcterms:modified xsi:type="dcterms:W3CDTF">2019-10-04T05:28:00Z</dcterms:modified>
</cp:coreProperties>
</file>