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9F431F" w:rsidP="009F431F">
      <w:pPr>
        <w:jc w:val="center"/>
      </w:pPr>
      <w:r>
        <w:t>ОО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Установка неразрушающего контроля НКТ</w:t>
      </w: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«БУРАН</w:t>
      </w:r>
      <w:r w:rsidRPr="00F17DDA">
        <w:rPr>
          <w:b/>
          <w:caps/>
          <w:color w:val="FF0000"/>
          <w:vertAlign w:val="superscript"/>
        </w:rPr>
        <w:t>®</w:t>
      </w:r>
      <w:r w:rsidRPr="00F17DDA">
        <w:rPr>
          <w:b/>
          <w:caps/>
          <w:color w:val="FF0000"/>
        </w:rPr>
        <w:t xml:space="preserve"> 5000»</w:t>
      </w:r>
    </w:p>
    <w:p w:rsidR="009F431F" w:rsidRPr="00F17DDA" w:rsidRDefault="009F431F" w:rsidP="009F431F">
      <w:pPr>
        <w:ind w:firstLine="709"/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Рабочая инструкция оператора</w:t>
      </w: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БУРАН 9955-136 ДРИ</w:t>
      </w:r>
    </w:p>
    <w:p w:rsidR="009F431F" w:rsidRPr="00F17DDA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F17DDA" w:rsidRDefault="00AC7B82"/>
    <w:p w:rsidR="009F431F" w:rsidRDefault="009F431F" w:rsidP="009F431F">
      <w:pPr>
        <w:pStyle w:val="1"/>
      </w:pPr>
      <w:bookmarkStart w:id="0" w:name="_Toc525046480"/>
      <w:r>
        <w:t>ВВЕДЕНИЕ</w:t>
      </w:r>
      <w:bookmarkEnd w:id="0"/>
    </w:p>
    <w:p w:rsidR="009F431F" w:rsidRDefault="009F431F" w:rsidP="009F431F"/>
    <w:p w:rsidR="009F431F" w:rsidRPr="00442A5E" w:rsidRDefault="009F431F" w:rsidP="009F431F">
      <w:r>
        <w:t>Данная инструкция описывает действия оператора установки неразрушающего контроля насосно-компрессорных труб «БУРАН</w:t>
      </w:r>
      <w:r w:rsidRPr="00DB59D6">
        <w:rPr>
          <w:vertAlign w:val="superscript"/>
        </w:rPr>
        <w:t>®</w:t>
      </w:r>
      <w:r>
        <w:t xml:space="preserve"> 5000»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неразрушающего контроля: индукционный метод магнитного контроля в приложенном поле (термины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24450-80</w:t>
      </w:r>
      <w:r>
        <w:rPr>
          <w:bCs/>
          <w:kern w:val="36"/>
          <w:szCs w:val="24"/>
        </w:rPr>
        <w:t>), эхо-импульсный акустический метод с ЭМА-преобразованием (</w:t>
      </w:r>
      <w:r>
        <w:t>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</w:t>
      </w:r>
      <w:r>
        <w:rPr>
          <w:bCs/>
          <w:kern w:val="36"/>
          <w:szCs w:val="24"/>
        </w:rPr>
        <w:t>3829</w:t>
      </w:r>
      <w:r w:rsidRPr="00E6719C">
        <w:rPr>
          <w:bCs/>
          <w:kern w:val="36"/>
          <w:szCs w:val="24"/>
        </w:rPr>
        <w:t>-8</w:t>
      </w:r>
      <w:r>
        <w:rPr>
          <w:bCs/>
          <w:kern w:val="36"/>
          <w:szCs w:val="24"/>
        </w:rPr>
        <w:t>5)</w:t>
      </w:r>
      <w:r>
        <w:t xml:space="preserve"> в данной инструкции не рассматриваются. Обслуживающий персонал установки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9F431F" w:rsidRPr="002D6E80" w:rsidRDefault="009F431F" w:rsidP="009F431F">
      <w:r>
        <w:t>При изучении данного документа д</w:t>
      </w:r>
      <w:r w:rsidRPr="002D6E80">
        <w:t>ополнительно следует руководствоваться следующими документами: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Регламент технического обслуживания БУРАН 9955-136 ДРТО;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</w:t>
      </w:r>
      <w:r w:rsidRPr="009F431F">
        <w:rPr>
          <w:color w:val="FF0000"/>
          <w:lang w:val="en-US"/>
        </w:rPr>
        <w:t> </w:t>
      </w:r>
      <w:r w:rsidRPr="009F431F">
        <w:rPr>
          <w:color w:val="FF0000"/>
        </w:rPr>
        <w:t>РЭ-01;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 РЭ-02;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9998-111 РЭ;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 xml:space="preserve">Паспорт БУРАН 9955-136 ПС; 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Руководства по эксплуатации покупных изделий, входящих в состав установки;</w:t>
      </w:r>
    </w:p>
    <w:p w:rsidR="009F431F" w:rsidRDefault="009F431F" w:rsidP="009F431F">
      <w:r w:rsidRPr="009F431F">
        <w:rPr>
          <w:color w:val="FF0000"/>
        </w:rPr>
        <w:t>Схемы электрические проектов БУРАН 9955-136 и БУРАН-9998-111</w:t>
      </w:r>
      <w:r>
        <w:t>.</w:t>
      </w:r>
    </w:p>
    <w:p w:rsidR="009F431F" w:rsidRDefault="009F431F" w:rsidP="009F431F"/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Default="009F431F"/>
    <w:p w:rsidR="009F431F" w:rsidRDefault="009F431F"/>
    <w:p w:rsidR="009F431F" w:rsidRDefault="009F431F"/>
    <w:p w:rsidR="009F431F" w:rsidRDefault="009F431F" w:rsidP="009F431F">
      <w:pPr>
        <w:pStyle w:val="1"/>
        <w:numPr>
          <w:ilvl w:val="0"/>
          <w:numId w:val="3"/>
        </w:numPr>
        <w:ind w:left="1843" w:hanging="283"/>
        <w:rPr>
          <w:color w:val="auto"/>
        </w:rPr>
      </w:pPr>
      <w:r w:rsidRPr="009F431F">
        <w:rPr>
          <w:color w:val="auto"/>
        </w:rPr>
        <w:lastRenderedPageBreak/>
        <w:t>Программа установки контроля насосных штанг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E9694C">
      <w:pPr>
        <w:pStyle w:val="30"/>
        <w:numPr>
          <w:ilvl w:val="1"/>
          <w:numId w:val="11"/>
        </w:numPr>
        <w:rPr>
          <w:lang w:val="en-US"/>
        </w:rPr>
      </w:pPr>
      <w:r w:rsidRPr="00D54895">
        <w:t>Описание основного окна рабочей программы</w:t>
      </w:r>
    </w:p>
    <w:p w:rsidR="00E9694C" w:rsidRDefault="00E9694C" w:rsidP="00E9694C">
      <w:r>
        <w:t>Основной экран рабочей программы приведен на рисунке 1.</w:t>
      </w:r>
    </w:p>
    <w:p w:rsidR="00E9694C" w:rsidRDefault="00E9694C" w:rsidP="00E9694C">
      <w:r>
        <w:rPr>
          <w:noProof/>
        </w:rPr>
        <w:drawing>
          <wp:inline distT="0" distB="0" distL="0" distR="0">
            <wp:extent cx="5081905" cy="3138487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87" cy="313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81" w:rsidRPr="00C214FA" w:rsidRDefault="00581E81" w:rsidP="00581E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E81" w:rsidRDefault="00581E81" w:rsidP="00581E81">
      <w:pPr>
        <w:pStyle w:val="3"/>
      </w:pPr>
      <w:r w:rsidRPr="00581E81">
        <w:rPr>
          <w:rStyle w:val="31"/>
          <w:rFonts w:ascii="Times New Roman" w:hAnsi="Times New Roman" w:cs="Times New Roman"/>
          <w:b w:val="0"/>
        </w:rPr>
        <w:t>В верхней части основного окна расположено меню управления,</w:t>
      </w:r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581E81">
      <w:pPr>
        <w:pStyle w:val="3"/>
      </w:pPr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и тестирования установки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>
        <w:t>дефектоскопия</w:t>
      </w:r>
      <w:r w:rsidRPr="00B62337">
        <w:t>”</w:t>
      </w:r>
      <w:r w:rsidRPr="00CD3DF5">
        <w:t>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структура</w:t>
      </w:r>
      <w:r w:rsidRPr="00CD3DF5">
        <w:t>”;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прерывание на просмотр</w:t>
      </w:r>
      <w:r w:rsidRPr="00CD3DF5">
        <w:t>”</w:t>
      </w:r>
    </w:p>
    <w:p w:rsidR="00581E81" w:rsidRDefault="00581E81" w:rsidP="00581E81">
      <w:pPr>
        <w:pStyle w:val="3"/>
      </w:pPr>
      <w:r>
        <w:t>Строка сообщений состояния установки</w:t>
      </w:r>
    </w:p>
    <w:p w:rsidR="00581E81" w:rsidRDefault="00581E81" w:rsidP="00581E81">
      <w:pPr>
        <w:pStyle w:val="3"/>
      </w:pPr>
      <w:r>
        <w:t xml:space="preserve">Результат контроля </w:t>
      </w: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81E81" w:rsidRPr="003A3F16" w:rsidRDefault="003A3F16" w:rsidP="003A3F16">
      <w:r>
        <w:t xml:space="preserve">Данное окно представляет </w:t>
      </w:r>
      <w:r w:rsidR="00581E81">
        <w:t>график</w:t>
      </w:r>
      <w:r w:rsidRPr="003A3F16">
        <w:t>:</w:t>
      </w:r>
      <w:r>
        <w:t xml:space="preserve">  ось</w:t>
      </w:r>
      <w:r w:rsidR="00581E81">
        <w:t xml:space="preserve"> </w:t>
      </w:r>
      <w:r w:rsidR="00581E81" w:rsidRPr="003A3F16">
        <w:t>“</w:t>
      </w:r>
      <w:r w:rsidR="00581E81">
        <w:rPr>
          <w:lang w:val="en-US"/>
        </w:rPr>
        <w:t>X</w:t>
      </w:r>
      <w:r w:rsidR="00581E81"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lastRenderedPageBreak/>
        <w:t xml:space="preserve">Результат контроля </w:t>
      </w: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3A3F16" w:rsidRDefault="003A3F16" w:rsidP="003A3F16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t>Обобщённый результат контроля</w:t>
      </w:r>
    </w:p>
    <w:p w:rsidR="00BB6D57" w:rsidRDefault="003A3F16" w:rsidP="00BB6D57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 w:rsidR="00BB6D57">
        <w:t>Обобщённый результат контроля, формируемый на основании результата используемыми в данном измерении модулями.</w:t>
      </w:r>
    </w:p>
    <w:p w:rsidR="00BB6D57" w:rsidRDefault="00BB6D57" w:rsidP="00BB6D57">
      <w:pPr>
        <w:pStyle w:val="2"/>
      </w:pPr>
      <w:bookmarkStart w:id="1" w:name="_Toc525046483"/>
      <w:bookmarkStart w:id="2" w:name="_Toc525824406"/>
      <w:r w:rsidRPr="00BB6D57">
        <w:t>Описание меню</w:t>
      </w:r>
      <w:bookmarkEnd w:id="1"/>
      <w:bookmarkEnd w:id="2"/>
    </w:p>
    <w:p w:rsidR="00BB6D57" w:rsidRPr="00BB6D57" w:rsidRDefault="00BB6D57" w:rsidP="00BB6D57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BB6D57" w:rsidRPr="00BB6D57" w:rsidRDefault="00BB6D57" w:rsidP="00BB6D57">
      <w:pPr>
        <w:pStyle w:val="3"/>
        <w:rPr>
          <w:lang w:val="en-US"/>
        </w:rPr>
      </w:pPr>
      <w:r>
        <w:rPr>
          <w:lang w:val="en-US"/>
        </w:rPr>
        <w:t>“</w:t>
      </w:r>
      <w:r>
        <w:t>Файл</w:t>
      </w:r>
      <w:r>
        <w:rPr>
          <w:lang w:val="en-US"/>
        </w:rPr>
        <w:t>”</w:t>
      </w:r>
    </w:p>
    <w:p w:rsidR="00F605C7" w:rsidRDefault="00F605C7" w:rsidP="00F605C7">
      <w:pPr>
        <w:pStyle w:val="a3"/>
        <w:numPr>
          <w:ilvl w:val="3"/>
          <w:numId w:val="15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пункта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F605C7" w:rsidRDefault="00F605C7" w:rsidP="00F605C7">
      <w:pPr>
        <w:ind w:left="851" w:firstLine="0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jc w:val="center"/>
      </w:pPr>
      <w:r>
        <w:t>Рисунок 2</w:t>
      </w:r>
    </w:p>
    <w:p w:rsidR="00F605C7" w:rsidRPr="00F605C7" w:rsidRDefault="00F605C7" w:rsidP="00F605C7">
      <w:pPr>
        <w:ind w:left="851" w:firstLine="0"/>
      </w:pPr>
    </w:p>
    <w:p w:rsidR="00F605C7" w:rsidRDefault="00F605C7" w:rsidP="00F605C7">
      <w:pPr>
        <w:pStyle w:val="a3"/>
        <w:numPr>
          <w:ilvl w:val="3"/>
          <w:numId w:val="12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F605C7" w:rsidRDefault="00F605C7" w:rsidP="00F605C7">
      <w:pPr>
        <w:ind w:left="1080" w:firstLine="0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ind w:left="4648"/>
      </w:pPr>
      <w:r>
        <w:t>Рисунок 3</w:t>
      </w:r>
    </w:p>
    <w:p w:rsidR="00F605C7" w:rsidRDefault="00F605C7" w:rsidP="00F605C7">
      <w:pPr>
        <w:pStyle w:val="a3"/>
        <w:ind w:left="2325" w:firstLine="0"/>
      </w:pPr>
    </w:p>
    <w:p w:rsidR="00F605C7" w:rsidRDefault="00F605C7" w:rsidP="00F605C7">
      <w:pPr>
        <w:pStyle w:val="a3"/>
        <w:numPr>
          <w:ilvl w:val="3"/>
          <w:numId w:val="12"/>
        </w:numPr>
        <w:rPr>
          <w:sz w:val="20"/>
        </w:rPr>
      </w:pPr>
      <w:r w:rsidRPr="00E30F78">
        <w:rPr>
          <w:sz w:val="20"/>
        </w:rPr>
        <w:lastRenderedPageBreak/>
        <w:t>“</w:t>
      </w:r>
      <w:r>
        <w:rPr>
          <w:sz w:val="20"/>
        </w:rPr>
        <w:t>Перерасчёт</w:t>
      </w:r>
      <w:r w:rsidRPr="00E30F78">
        <w:rPr>
          <w:sz w:val="20"/>
        </w:rPr>
        <w:t>”</w:t>
      </w:r>
      <w:r>
        <w:rPr>
          <w:sz w:val="20"/>
        </w:rPr>
        <w:t xml:space="preserve"> – при выборе данного пункта меню происходит перерасчёт результата. (Может быть полезным, при изменении настроек).</w:t>
      </w:r>
    </w:p>
    <w:p w:rsidR="00F605C7" w:rsidRPr="00480C36" w:rsidRDefault="00F605C7" w:rsidP="00F605C7">
      <w:pPr>
        <w:pStyle w:val="a3"/>
        <w:numPr>
          <w:ilvl w:val="3"/>
          <w:numId w:val="12"/>
        </w:numPr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Выход</w:t>
      </w:r>
      <w:r>
        <w:rPr>
          <w:sz w:val="20"/>
          <w:lang w:val="en-US"/>
        </w:rPr>
        <w:t>”</w:t>
      </w:r>
      <w:r>
        <w:rPr>
          <w:sz w:val="20"/>
        </w:rPr>
        <w:t xml:space="preserve"> – завершает программу.</w:t>
      </w:r>
    </w:p>
    <w:p w:rsidR="00F605C7" w:rsidRPr="00F95D6F" w:rsidRDefault="00F605C7" w:rsidP="00F605C7">
      <w:pPr>
        <w:pStyle w:val="2"/>
        <w:rPr>
          <w:lang w:val="en-US"/>
        </w:rPr>
      </w:pPr>
      <w:r w:rsidRPr="00F95D6F">
        <w:rPr>
          <w:lang w:val="en-US"/>
        </w:rPr>
        <w:t>“</w:t>
      </w:r>
      <w:r w:rsidRPr="00F95D6F">
        <w:t>Типоразмер</w:t>
      </w:r>
      <w:r w:rsidRPr="00F95D6F">
        <w:rPr>
          <w:lang w:val="en-US"/>
        </w:rPr>
        <w:t>”</w:t>
      </w:r>
    </w:p>
    <w:p w:rsidR="00F605C7" w:rsidRPr="00F605C7" w:rsidRDefault="00F605C7" w:rsidP="00F605C7">
      <w:pPr>
        <w:pStyle w:val="a3"/>
        <w:numPr>
          <w:ilvl w:val="1"/>
          <w:numId w:val="12"/>
        </w:numPr>
        <w:rPr>
          <w:vanish/>
        </w:rPr>
      </w:pPr>
    </w:p>
    <w:p w:rsidR="00F605C7" w:rsidRDefault="00F605C7" w:rsidP="00F605C7">
      <w:pPr>
        <w:pStyle w:val="3"/>
      </w:pPr>
      <w:r w:rsidRPr="00674F2F">
        <w:t>“</w:t>
      </w:r>
      <w:r>
        <w:t>Мёртвые зоны</w:t>
      </w:r>
      <w:r w:rsidRPr="00674F2F">
        <w:t>”</w:t>
      </w:r>
      <w:r>
        <w:t xml:space="preserve"> </w:t>
      </w:r>
      <w:r w:rsidR="00674F2F">
        <w:t>(</w:t>
      </w:r>
      <w:proofErr w:type="gramStart"/>
      <w:r w:rsidR="00674F2F">
        <w:t>см</w:t>
      </w:r>
      <w:proofErr w:type="gramEnd"/>
      <w:r w:rsidR="00674F2F">
        <w:t>. рис. 4)</w:t>
      </w:r>
    </w:p>
    <w:p w:rsidR="00E4536A" w:rsidRPr="00E4536A" w:rsidRDefault="00E4536A" w:rsidP="00E4536A">
      <w:pPr>
        <w:pStyle w:val="a3"/>
        <w:numPr>
          <w:ilvl w:val="3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</w:t>
      </w:r>
      <w:proofErr w:type="gramStart"/>
      <w:r>
        <w:t>.</w:t>
      </w:r>
      <w:proofErr w:type="gramEnd"/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E4536A">
      <w:pPr>
        <w:pStyle w:val="a3"/>
        <w:numPr>
          <w:ilvl w:val="3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E4536A">
      <w:pPr>
        <w:pStyle w:val="a3"/>
        <w:numPr>
          <w:ilvl w:val="3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Структура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E4536A">
      <w:pPr>
        <w:pStyle w:val="a3"/>
        <w:numPr>
          <w:ilvl w:val="3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 w:rsidRPr="00E4536A">
        <w:rPr>
          <w:sz w:val="20"/>
        </w:rPr>
        <w:t xml:space="preserve"> </w:t>
      </w:r>
      <w:r>
        <w:rPr>
          <w:sz w:val="20"/>
        </w:rPr>
        <w:t>Структура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BB6D57" w:rsidRDefault="00E4536A" w:rsidP="00F605C7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Длина штанги (мм)</w:t>
      </w:r>
      <w:r>
        <w:rPr>
          <w:lang w:val="en-US"/>
        </w:rPr>
        <w:t>”</w:t>
      </w:r>
    </w:p>
    <w:p w:rsidR="00E4536A" w:rsidRDefault="00E4536A" w:rsidP="00E4536A">
      <w:r>
        <w:t>Задаётся длина штанги – по ней в дальнейшем определяются размеры мёртвых зон,</w:t>
      </w:r>
    </w:p>
    <w:p w:rsidR="00E4536A" w:rsidRDefault="00674F2F" w:rsidP="00E4536A">
      <w:r>
        <w:t>Вычисление</w:t>
      </w:r>
      <w:r w:rsidR="00E4536A">
        <w:t xml:space="preserve"> </w:t>
      </w:r>
      <w:r>
        <w:t>входных данных для отображения результата на графике.</w:t>
      </w:r>
    </w:p>
    <w:p w:rsidR="00674F2F" w:rsidRDefault="00674F2F" w:rsidP="00E4536A">
      <w:r>
        <w:rPr>
          <w:noProof/>
        </w:rPr>
        <w:drawing>
          <wp:inline distT="0" distB="0" distL="0" distR="0">
            <wp:extent cx="2986087" cy="1847850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F" w:rsidRDefault="00674F2F" w:rsidP="00674F2F">
      <w:pPr>
        <w:pStyle w:val="a7"/>
        <w:ind w:left="4648"/>
      </w:pPr>
      <w:r>
        <w:t>Рисунок 4</w:t>
      </w:r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</w:p>
    <w:p w:rsidR="00674F2F" w:rsidRDefault="00674F2F" w:rsidP="00674F2F">
      <w:pPr>
        <w:pStyle w:val="3"/>
        <w:rPr>
          <w:lang w:val="en-US"/>
        </w:rPr>
      </w:pPr>
      <w:r>
        <w:rPr>
          <w:lang w:val="en-US"/>
        </w:rPr>
        <w:t>“</w:t>
      </w:r>
      <w:r>
        <w:t>Медианный фильтр</w:t>
      </w:r>
      <w:r>
        <w:rPr>
          <w:lang w:val="en-US"/>
        </w:rPr>
        <w:t>”</w:t>
      </w:r>
    </w:p>
    <w:p w:rsidR="00EF3A99" w:rsidRPr="00EF3A99" w:rsidRDefault="00EF3A99" w:rsidP="00EF3A99">
      <w:pPr>
        <w:rPr>
          <w:sz w:val="20"/>
        </w:rPr>
      </w:pPr>
      <w:r w:rsidRPr="00EF3A99">
        <w:rPr>
          <w:sz w:val="20"/>
        </w:rPr>
        <w:t xml:space="preserve">Используется для отсечения </w:t>
      </w:r>
      <w:hyperlink r:id="rId10" w:history="1">
        <w:r w:rsidRPr="00EF3A99">
          <w:rPr>
            <w:rStyle w:val="a8"/>
            <w:rFonts w:cs="Arial"/>
            <w:b/>
            <w:bCs/>
            <w:i/>
            <w:iCs/>
            <w:color w:val="000000" w:themeColor="text1"/>
            <w:sz w:val="20"/>
            <w:u w:val="none"/>
            <w:shd w:val="clear" w:color="auto" w:fill="FFFFFF"/>
          </w:rPr>
          <w:t>единичных</w:t>
        </w:r>
      </w:hyperlink>
      <w:r w:rsidRPr="00EF3A99">
        <w:rPr>
          <w:sz w:val="20"/>
        </w:rPr>
        <w:t xml:space="preserve"> выбросов</w:t>
      </w:r>
      <w:r w:rsidR="00CB61A6">
        <w:rPr>
          <w:sz w:val="20"/>
        </w:rPr>
        <w:t xml:space="preserve"> (</w:t>
      </w:r>
      <w:proofErr w:type="gramStart"/>
      <w:r w:rsidR="00CB61A6">
        <w:rPr>
          <w:sz w:val="20"/>
        </w:rPr>
        <w:t>см</w:t>
      </w:r>
      <w:proofErr w:type="gramEnd"/>
      <w:r w:rsidR="00CB61A6">
        <w:rPr>
          <w:sz w:val="20"/>
        </w:rPr>
        <w:t>. рис. 5)</w:t>
      </w:r>
      <w:r w:rsidRPr="00EF3A99">
        <w:rPr>
          <w:sz w:val="20"/>
        </w:rPr>
        <w:t>.</w:t>
      </w:r>
      <w:r w:rsidR="00CB61A6">
        <w:rPr>
          <w:sz w:val="20"/>
        </w:rPr>
        <w:t xml:space="preserve"> </w:t>
      </w:r>
    </w:p>
    <w:p w:rsidR="00674F2F" w:rsidRPr="00EF3A99" w:rsidRDefault="00674F2F" w:rsidP="00EF3A99">
      <w:pPr>
        <w:pStyle w:val="a3"/>
        <w:numPr>
          <w:ilvl w:val="3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Дефектоскопия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EF3A99" w:rsidRPr="00EF3A99" w:rsidRDefault="00EF3A99" w:rsidP="00EF3A99">
      <w:r>
        <w:lastRenderedPageBreak/>
        <w:t>Определяет среднее значение входных данных</w:t>
      </w:r>
    </w:p>
    <w:p w:rsidR="00674F2F" w:rsidRDefault="00EF3A99" w:rsidP="00674F2F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 xml:space="preserve">Дефектоскопия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Pr="00EF3A99" w:rsidRDefault="00CB61A6" w:rsidP="00CB61A6">
      <w:pPr>
        <w:pStyle w:val="a3"/>
        <w:numPr>
          <w:ilvl w:val="3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Структура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CB61A6" w:rsidRPr="00EF3A99" w:rsidRDefault="00CB61A6" w:rsidP="00CB61A6">
      <w:r>
        <w:t>Определяет среднее значение входных данных</w:t>
      </w:r>
    </w:p>
    <w:p w:rsidR="00CB61A6" w:rsidRDefault="00CB61A6" w:rsidP="00CB61A6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rPr>
          <w:sz w:val="20"/>
        </w:rPr>
        <w:t xml:space="preserve">Структура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Default="00CB61A6" w:rsidP="00CB61A6">
      <w:r>
        <w:rPr>
          <w:noProof/>
        </w:rPr>
        <w:drawing>
          <wp:inline distT="0" distB="0" distL="0" distR="0">
            <wp:extent cx="3505200" cy="15287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CB61A6" w:rsidP="00CB61A6">
      <w:pPr>
        <w:pStyle w:val="a7"/>
        <w:ind w:left="4648"/>
      </w:pPr>
      <w:r>
        <w:t>Рисунок 5</w:t>
      </w:r>
    </w:p>
    <w:p w:rsidR="00CB61A6" w:rsidRPr="00674F2F" w:rsidRDefault="00CB61A6" w:rsidP="00CB61A6"/>
    <w:p w:rsidR="00CB61A6" w:rsidRPr="00674F2F" w:rsidRDefault="00CB61A6" w:rsidP="00CB61A6"/>
    <w:p w:rsidR="00674F2F" w:rsidRPr="00F605C7" w:rsidRDefault="00674F2F" w:rsidP="00674F2F">
      <w:pPr>
        <w:pStyle w:val="1"/>
      </w:pPr>
    </w:p>
    <w:p w:rsidR="00BB6D57" w:rsidRDefault="00BB6D57" w:rsidP="00BB6D57"/>
    <w:p w:rsidR="003A3F16" w:rsidRDefault="003A3F16" w:rsidP="00BB6D57"/>
    <w:p w:rsidR="003A3F16" w:rsidRDefault="003A3F16" w:rsidP="003A3F16">
      <w:pPr>
        <w:pStyle w:val="3"/>
        <w:numPr>
          <w:ilvl w:val="0"/>
          <w:numId w:val="0"/>
        </w:numPr>
        <w:ind w:left="1965"/>
      </w:pPr>
    </w:p>
    <w:p w:rsidR="00581E81" w:rsidRPr="00E9694C" w:rsidRDefault="00581E81" w:rsidP="00E9694C"/>
    <w:sectPr w:rsidR="00581E81" w:rsidRPr="00E9694C" w:rsidSect="00AC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5BA66AD"/>
    <w:multiLevelType w:val="multilevel"/>
    <w:tmpl w:val="4DC28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7477091"/>
    <w:multiLevelType w:val="multilevel"/>
    <w:tmpl w:val="2D706C1E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96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12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3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F431F"/>
    <w:rsid w:val="00082340"/>
    <w:rsid w:val="001D3B16"/>
    <w:rsid w:val="003A3F16"/>
    <w:rsid w:val="00581E81"/>
    <w:rsid w:val="00674F2F"/>
    <w:rsid w:val="006B42BA"/>
    <w:rsid w:val="009F431F"/>
    <w:rsid w:val="00AC7B82"/>
    <w:rsid w:val="00B643FC"/>
    <w:rsid w:val="00BB6D57"/>
    <w:rsid w:val="00CB61A6"/>
    <w:rsid w:val="00D54895"/>
    <w:rsid w:val="00E4536A"/>
    <w:rsid w:val="00E9694C"/>
    <w:rsid w:val="00EF3A99"/>
    <w:rsid w:val="00F17DDA"/>
    <w:rsid w:val="00F6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ru/search?newwindow=1&amp;q=%D0%B5%D0%B4%D0%B8%D0%BD%D0%B8%D1%87%D0%BD%D1%8B%D1%85&amp;spell=1&amp;sa=X&amp;ved=0ahUKEwjHsL3wybLdAhWBhiwKHRaYBiAQkeECCCUoA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7DA8D-35CD-45B5-9369-64B9E655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2018-12-27T08:25:00Z</dcterms:created>
  <dcterms:modified xsi:type="dcterms:W3CDTF">2018-12-27T11:55:00Z</dcterms:modified>
</cp:coreProperties>
</file>