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Distribución equilibrada del trabajo - Wine Clustering</w:t>
      </w:r>
      <w:r w:rsidDel="00000000" w:rsidR="00000000" w:rsidRPr="00000000">
        <w:rPr>
          <w:rtl w:val="0"/>
        </w:rPr>
      </w:r>
    </w:p>
    <w:tbl>
      <w:tblPr>
        <w:tblStyle w:val="Table1"/>
        <w:tblW w:w="113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0"/>
        <w:gridCol w:w="3450"/>
        <w:gridCol w:w="4410"/>
        <w:tblGridChange w:id="0">
          <w:tblGrid>
            <w:gridCol w:w="3450"/>
            <w:gridCol w:w="3450"/>
            <w:gridCol w:w="4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Andrey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Preexploratorio + Carga + Estadísticas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Portada.</w:t>
            </w:r>
          </w:p>
          <w:p w:rsidR="00000000" w:rsidDel="00000000" w:rsidP="00000000" w:rsidRDefault="00000000" w:rsidRPr="00000000" w14:paraId="0000000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Tabla de contenido.</w:t>
            </w:r>
          </w:p>
          <w:p w:rsidR="00000000" w:rsidDel="00000000" w:rsidP="00000000" w:rsidRDefault="00000000" w:rsidRPr="00000000" w14:paraId="0000000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Descripción inicial del problema.</w:t>
            </w:r>
          </w:p>
          <w:p w:rsidR="00000000" w:rsidDel="00000000" w:rsidP="00000000" w:rsidRDefault="00000000" w:rsidRPr="00000000" w14:paraId="0000000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Objetivo del análisis preexploratorio.</w:t>
            </w:r>
          </w:p>
          <w:p w:rsidR="00000000" w:rsidDel="00000000" w:rsidP="00000000" w:rsidRDefault="00000000" w:rsidRPr="00000000" w14:paraId="0000000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Carga y verificación del dataset.</w:t>
            </w:r>
          </w:p>
          <w:p w:rsidR="00000000" w:rsidDel="00000000" w:rsidP="00000000" w:rsidRDefault="00000000" w:rsidRPr="00000000" w14:paraId="0000000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Dimensiones del dataset.</w:t>
            </w:r>
          </w:p>
          <w:p w:rsidR="00000000" w:rsidDel="00000000" w:rsidP="00000000" w:rsidRDefault="00000000" w:rsidRPr="00000000" w14:paraId="0000000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Identificación y tipos de variables.</w:t>
            </w:r>
          </w:p>
          <w:p w:rsidR="00000000" w:rsidDel="00000000" w:rsidP="00000000" w:rsidRDefault="00000000" w:rsidRPr="00000000" w14:paraId="0000000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Revisión de valores faltantes.</w:t>
            </w:r>
          </w:p>
          <w:p w:rsidR="00000000" w:rsidDel="00000000" w:rsidP="00000000" w:rsidRDefault="00000000" w:rsidRPr="00000000" w14:paraId="0000000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Revisión de registros duplicados.</w:t>
            </w:r>
          </w:p>
          <w:p w:rsidR="00000000" w:rsidDel="00000000" w:rsidP="00000000" w:rsidRDefault="00000000" w:rsidRPr="00000000" w14:paraId="0000001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Revisión y justificación de la limpieza necesaria.</w:t>
            </w:r>
          </w:p>
          <w:p w:rsidR="00000000" w:rsidDel="00000000" w:rsidP="00000000" w:rsidRDefault="00000000" w:rsidRPr="00000000" w14:paraId="0000001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Estadísticas descriptivas iniciales: media, mediana, desviación estándar y rango.</w:t>
            </w:r>
          </w:p>
          <w:p w:rsidR="00000000" w:rsidDel="00000000" w:rsidP="00000000" w:rsidRDefault="00000000" w:rsidRPr="00000000" w14:paraId="0000001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Detección numérica de posibles valores atípicos mediante IQR.</w:t>
            </w:r>
          </w:p>
          <w:p w:rsidR="00000000" w:rsidDel="00000000" w:rsidP="00000000" w:rsidRDefault="00000000" w:rsidRPr="00000000" w14:paraId="0000001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Comparación de estadísticas con y sin posibles outliers.</w:t>
            </w:r>
          </w:p>
          <w:p w:rsidR="00000000" w:rsidDel="00000000" w:rsidP="00000000" w:rsidRDefault="00000000" w:rsidRPr="00000000" w14:paraId="0000001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Evaluación del impacto de los outliers y justificación de su tratamiento.</w:t>
            </w:r>
          </w:p>
          <w:p w:rsidR="00000000" w:rsidDel="00000000" w:rsidP="00000000" w:rsidRDefault="00000000" w:rsidRPr="00000000" w14:paraId="0000001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Revisión de diferencias de escala entre las variables.</w:t>
            </w:r>
          </w:p>
          <w:p w:rsidR="00000000" w:rsidDel="00000000" w:rsidP="00000000" w:rsidRDefault="00000000" w:rsidRPr="00000000" w14:paraId="0000001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Hallazgos del análisis preexploratorio.</w:t>
            </w:r>
          </w:p>
          <w:p w:rsidR="00000000" w:rsidDel="00000000" w:rsidP="00000000" w:rsidRDefault="00000000" w:rsidRPr="00000000" w14:paraId="0000001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Planteamiento de la pregunta principal para el EDA.</w:t>
            </w:r>
          </w:p>
          <w:p w:rsidR="00000000" w:rsidDel="00000000" w:rsidP="00000000" w:rsidRDefault="00000000" w:rsidRPr="00000000" w14:paraId="0000001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Formulación de preguntas derivadas a partir de los hallazgos del preexploratorio.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Jeremy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Descripción de variables + EDA univariado + Outliers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Descripción del dataset.</w:t>
              <w:br w:type="textWrapping"/>
              <w:t xml:space="preserve">• Diccionario de las 13 variables.</w:t>
              <w:br w:type="textWrapping"/>
              <w:t xml:space="preserve">• Media, mediana, desviación estándar, cuartiles, mínimos y máximos.</w:t>
              <w:br w:type="textWrapping"/>
              <w:t xml:space="preserve">• Histogramas.</w:t>
              <w:br w:type="textWrapping"/>
              <w:t xml:space="preserve">• Boxplots.</w:t>
              <w:br w:type="textWrapping"/>
              <w:t xml:space="preserve">• Análisis de distribuciones.</w:t>
              <w:br w:type="textWrapping"/>
              <w:t xml:space="preserve">• Análisis de variabilidad.</w:t>
              <w:br w:type="textWrapping"/>
              <w:t xml:space="preserve">• Detección de outliers.</w:t>
              <w:br w:type="textWrapping"/>
              <w:t xml:space="preserve">• Evaluación de cuáles outliers podrían afectar el análisis.</w:t>
              <w:br w:type="textWrapping"/>
              <w:t xml:space="preserve">• Hallazgos del análisis univariado.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EDA bivariado + Selección de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Gráficos de dispersión.</w:t>
              <w:br w:type="textWrapping"/>
              <w:t xml:space="preserve">• Relaciones entre pares de variables.</w:t>
              <w:br w:type="textWrapping"/>
              <w:t xml:space="preserve">• Correlaciones.</w:t>
              <w:br w:type="textWrapping"/>
              <w:t xml:space="preserve">• Identificación de relaciones fuertes.</w:t>
              <w:br w:type="textWrapping"/>
              <w:t xml:space="preserve">• Identificación de relaciones débiles.</w:t>
              <w:br w:type="textWrapping"/>
              <w:t xml:space="preserve">• Detección de variables redundantes.</w:t>
              <w:br w:type="textWrapping"/>
              <w:t xml:space="preserve">• Selección de variables.</w:t>
              <w:br w:type="textWrapping"/>
              <w:t xml:space="preserve">• Eliminación de variables, si aplica.</w:t>
              <w:br w:type="textWrapping"/>
              <w:t xml:space="preserve">• Justificación de cada variable eliminada.</w:t>
              <w:br w:type="textWrapping"/>
              <w:t xml:space="preserve">• Conclusiones del análisis bivariado.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Desmont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EDA multivariado + Preparación + PCA + Codo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Matriz de correlación completa.</w:t>
              <w:br w:type="textWrapping"/>
              <w:t xml:space="preserve">• Análisis conjunto de varias variables.</w:t>
              <w:br w:type="textWrapping"/>
              <w:t xml:space="preserve">• Identificación de patrones multivariados.</w:t>
              <w:br w:type="textWrapping"/>
              <w:t xml:space="preserve">• Definición de variables finales.</w:t>
              <w:br w:type="textWrapping"/>
              <w:t xml:space="preserve">• Estandarización.</w:t>
              <w:br w:type="textWrapping"/>
              <w:t xml:space="preserve">• Justificación de la estandarización.</w:t>
              <w:br w:type="textWrapping"/>
              <w:t xml:space="preserve">• Aplicación de PCA.</w:t>
              <w:br w:type="textWrapping"/>
              <w:t xml:space="preserve">• Varianza explicada.</w:t>
              <w:br w:type="textWrapping"/>
              <w:t xml:space="preserve">• Visualización de PCA.</w:t>
              <w:br w:type="textWrapping"/>
              <w:t xml:space="preserve">• Método del codo.</w:t>
              <w:br w:type="textWrapping"/>
              <w:t xml:space="preserve">• Interpretación preliminar del posible número de clusters.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Samiel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Modelado final + Evaluación + Interpretación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Método de silueta.</w:t>
              <w:br w:type="textWrapping"/>
              <w:t xml:space="preserve">• Comparación entre codo y silueta.</w:t>
              <w:br w:type="textWrapping"/>
              <w:t xml:space="preserve">• Elección y justificación del número de clusters.</w:t>
              <w:br w:type="textWrapping"/>
              <w:t xml:space="preserve">• Modelado con K-Means.</w:t>
              <w:br w:type="textWrapping"/>
              <w:t xml:space="preserve">• Visualización final de clusters.</w:t>
              <w:br w:type="textWrapping"/>
              <w:t xml:space="preserve">• Evaluación de separación y compactación.</w:t>
              <w:br w:type="textWrapping"/>
              <w:t xml:space="preserve">• Caracterización de cada cluster.</w:t>
              <w:br w:type="textWrapping"/>
              <w:t xml:space="preserve">• Identificación de variables que distinguen los grupos.</w:t>
              <w:br w:type="textWrapping"/>
              <w:t xml:space="preserve">• Respuesta a las preguntas de análisis.</w:t>
              <w:br w:type="textWrapping"/>
              <w:t xml:space="preserve">• Respuesta a la problemática principal.</w:t>
              <w:br w:type="textWrapping"/>
              <w:t xml:space="preserve">• Limitaciones.</w:t>
              <w:br w:type="textWrapping"/>
              <w:t xml:space="preserve">• Conclusiones finales.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zHiCn2n8Cx6nhmPoEK9s4m8sg==">CgMxLjA4AHIhMXJVbG15Y09TSzZIY09XVjRPeWhNbUx0TDltM3BPNGZu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