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Wine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Problemática principal y preguntas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Problemática principal</w:t>
        <w:br w:type="textWrapping"/>
      </w:r>
      <w:r w:rsidDel="00000000" w:rsidR="00000000" w:rsidRPr="00000000">
        <w:rPr>
          <w:rtl w:val="0"/>
        </w:rPr>
        <w:t xml:space="preserve">¿Es posible identificar grupos de vinos con características químicas similares y determinar cuáles variables contribuyen principalmente a diferenciarlos?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de análisis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¿Cuáles variables presentan mayor variabilidad entre las muestras de vino y podrían contribuir más a diferenciarlas?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¿Qué comportamiento presentan las variables que mostraron posibles valores atípicos, especialmente Ash_Alcanity, Magnesium y Color_Intensity?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¿Los posibles valores atípicos representan casos aislados o forman parte del comportamiento natural de las variables y deben conservarse para el clustering?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¿Qué variables presentan distribuciones asimétricas, considerando las diferencias observadas entre su media y mediana, como ocurre con Proline y Malic_Acid?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¿Qué características químicas están fuertemente relacionadas entre sí y podrían estar aportando información redundante?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¿Las diferencias de escala entre variables hacen necesaria la estandarización antes de aplicar el modelo de clustering?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¿Todas las variables aportan información útil para diferenciar los vinos o existe alguna que pueda excluirse justificadamente?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¿Se observan patrones o perfiles químicos diferentes entre los vinos antes de aplicar el modelo de clustering?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¿Cuántos grupos representan mejor la estructura natural de los datos?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¿Qué características químicas distinguen principalmente a cada grupo encontrado?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¿Qué tan compactos y separados se encuentran los grupos obtenidos?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 para selección de variables y tratamiento de outliers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eliminará ninguna variable ni ningún valor atípico de manera automática. Cualquier decisión deberá estar respaldada por los resultados del análisis.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variable podrá considerarse para exclusión únicamente si presenta evidencia de información redundante, muy baja variabilidad, problemas de calidad, falta de aporte al objetivo del clustering o una relación excesivamente fuerte con otra variable que aporte prácticamente la misma información.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posibles valores atípicos serán analizados para determinar si corresponden a errores o a observaciones reales con características químicas poco comunes. También se evaluará su efecto sobre las estadísticas y sobre la formación de los clusters antes de decidir si se mantienen, se transforman o se eliminan.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las diferencias de escala detectadas durante el análisis preexploratorio, también se evaluará la necesidad de estandarizar las variables antes de aplicar algoritmos de clustering basados en distancias.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S2eh1oebNqGDE7W8oKQW5jvmZg==">CgMxLjA4AHIhMVpac0ZQZDlwbWJIdHFRRjE5VFJSVUlFRkVKaXVsOWpK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