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2019-07-21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Pembayaran SPP Bulan Juni Tahun 2019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2019-07-21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Pembayaran SPP Bulan Juni Tahun 2019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171810003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Aldi Ikmal Safitri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Multimedia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XI MM 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125000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171810003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Aldi Ikmal Safitri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Multimedia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XI MM 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125000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