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404040"/>
          <w:sz w:val="26"/>
        </w:rPr>
        <w:t>FICHA DE PROYECTO DE MÓDULO</w:t>
      </w:r>
    </w:p>
    <w:p>
      <w:pPr>
        <w:spacing w:after="280"/>
        <w:jc w:val="center"/>
      </w:pPr>
      <w:r>
        <w:rPr>
          <w:b/>
          <w:color w:val="1F3B57"/>
          <w:sz w:val="40"/>
        </w:rPr>
        <w:t>Módulo de Reportes y Tablero de Riesgos — Analítica Ejecutiva de la Oferta Académica</w:t>
      </w:r>
    </w:p>
    <w:p>
      <w:pPr>
        <w:spacing w:after="200"/>
        <w:pBdr>
          <w:bottom w:val="single" w:sz="10" w:space="1" w:color="1F3B57"/>
        </w:pBdr>
      </w:pPr>
    </w:p>
    <w:p>
      <w:pPr>
        <w:pStyle w:val="Heading1"/>
      </w:pPr>
      <w:r>
        <w:t>1. Encabezado Oficial</w:t>
      </w:r>
    </w:p>
    <w:tbl>
      <w:tblPr>
        <w:tblW w:type="auto" w:w="0"/>
        <w:jc w:val="left"/>
        <w:tblLayout w:type="fixed"/>
        <w:tblLook w:firstColumn="1" w:firstRow="1" w:lastColumn="0" w:lastRow="0" w:noHBand="0" w:noVBand="1" w:val="04A0"/>
      </w:tblPr>
      <w:tblGrid>
        <w:gridCol w:w="4680"/>
        <w:gridCol w:w="4680"/>
      </w:tblGrid>
      <w:tr>
        <w:tc>
          <w:tcPr>
            <w:tcW w:type="dxa" w:w="2304"/>
            <w:shd w:val="clear" w:color="auto" w:fill="E9EEF3"/>
            <w:vAlign w:val="center"/>
          </w:tcPr>
          <w:p>
            <w:r/>
            <w:r>
              <w:rPr>
                <w:b/>
                <w:sz w:val="22"/>
              </w:rPr>
              <w:t>Docente</w:t>
            </w:r>
          </w:p>
        </w:tc>
        <w:tc>
          <w:tcPr>
            <w:tcW w:type="dxa" w:w="7056"/>
            <w:vAlign w:val="center"/>
          </w:tcPr>
          <w:p>
            <w:r/>
            <w:r>
              <w:rPr>
                <w:sz w:val="22"/>
              </w:rPr>
              <w:t>Lic. Bryan Miguel Chaves Salas</w:t>
            </w:r>
          </w:p>
        </w:tc>
      </w:tr>
      <w:tr>
        <w:tc>
          <w:tcPr>
            <w:tcW w:type="dxa" w:w="2304"/>
            <w:shd w:val="clear" w:color="auto" w:fill="E9EEF3"/>
            <w:vAlign w:val="center"/>
          </w:tcPr>
          <w:p>
            <w:r/>
            <w:r>
              <w:rPr>
                <w:b/>
                <w:sz w:val="22"/>
              </w:rPr>
              <w:t>Institución</w:t>
            </w:r>
          </w:p>
        </w:tc>
        <w:tc>
          <w:tcPr>
            <w:tcW w:type="dxa" w:w="7056"/>
            <w:vAlign w:val="center"/>
          </w:tcPr>
          <w:p>
            <w:r/>
            <w:r>
              <w:rPr>
                <w:sz w:val="22"/>
              </w:rPr>
              <w:t>UTN, Sede San Carlos</w:t>
            </w:r>
          </w:p>
        </w:tc>
      </w:tr>
      <w:tr>
        <w:tc>
          <w:tcPr>
            <w:tcW w:type="dxa" w:w="2304"/>
            <w:shd w:val="clear" w:color="auto" w:fill="E9EEF3"/>
            <w:vAlign w:val="center"/>
          </w:tcPr>
          <w:p>
            <w:r/>
            <w:r>
              <w:rPr>
                <w:b/>
                <w:sz w:val="22"/>
              </w:rPr>
              <w:t>Período</w:t>
            </w:r>
          </w:p>
        </w:tc>
        <w:tc>
          <w:tcPr>
            <w:tcW w:type="dxa" w:w="7056"/>
            <w:vAlign w:val="center"/>
          </w:tcPr>
          <w:p>
            <w:r/>
            <w:r>
              <w:rPr>
                <w:sz w:val="22"/>
              </w:rPr>
              <w:t>2026 – II Cuatrimestre</w:t>
            </w:r>
          </w:p>
        </w:tc>
      </w:tr>
      <w:tr>
        <w:tc>
          <w:tcPr>
            <w:tcW w:type="dxa" w:w="2304"/>
            <w:shd w:val="clear" w:color="auto" w:fill="E9EEF3"/>
            <w:vAlign w:val="center"/>
          </w:tcPr>
          <w:p>
            <w:r/>
            <w:r>
              <w:rPr>
                <w:b/>
                <w:sz w:val="22"/>
              </w:rPr>
              <w:t>Curso</w:t>
            </w:r>
          </w:p>
        </w:tc>
        <w:tc>
          <w:tcPr>
            <w:tcW w:type="dxa" w:w="7056"/>
            <w:vAlign w:val="center"/>
          </w:tcPr>
          <w:p>
            <w:r/>
            <w:r>
              <w:rPr>
                <w:sz w:val="22"/>
              </w:rPr>
              <w:t>Programación en Ambiente Web I</w:t>
            </w:r>
          </w:p>
        </w:tc>
      </w:tr>
      <w:tr>
        <w:tc>
          <w:tcPr>
            <w:tcW w:type="dxa" w:w="2304"/>
            <w:shd w:val="clear" w:color="auto" w:fill="E9EEF3"/>
            <w:vAlign w:val="center"/>
          </w:tcPr>
          <w:p>
            <w:r/>
            <w:r>
              <w:rPr>
                <w:b/>
                <w:sz w:val="22"/>
              </w:rPr>
              <w:t>Código</w:t>
            </w:r>
          </w:p>
        </w:tc>
        <w:tc>
          <w:tcPr>
            <w:tcW w:type="dxa" w:w="7056"/>
            <w:vAlign w:val="center"/>
          </w:tcPr>
          <w:p>
            <w:r/>
            <w:r>
              <w:rPr>
                <w:sz w:val="22"/>
              </w:rPr>
              <w:t>ISW-521</w:t>
            </w:r>
          </w:p>
        </w:tc>
      </w:tr>
    </w:tbl>
    <w:p/>
    <w:p>
      <w:pPr>
        <w:pStyle w:val="Heading1"/>
      </w:pPr>
      <w:r>
        <w:t>2. Definición del Módulo</w:t>
      </w:r>
    </w:p>
    <w:p>
      <w:r>
        <w:rPr>
          <w:b/>
          <w:color w:val="1F3B57"/>
          <w:sz w:val="26"/>
        </w:rPr>
        <w:t>Módulo de Reportes y Tablero de Riesgos — Analítica Ejecutiva de la Oferta Académica</w:t>
      </w:r>
    </w:p>
    <w:p>
      <w:r>
        <w:rPr>
          <w:i/>
          <w:color w:val="404040"/>
          <w:sz w:val="19"/>
        </w:rPr>
        <w:t>Adaptado de FR-RE-01, FR-RE-02 y FR-RE-04 del SRS v1.2 (Sistema Integrado de Gestión Académica y Docente, UTN Sede San Carlos). Incluye una capa de datos base de elaboración propia para este proyecto, descrita en el requerimiento INFRA-01.</w:t>
      </w:r>
    </w:p>
    <w:p>
      <w:pPr>
        <w:pStyle w:val="Heading2"/>
      </w:pPr>
      <w:r>
        <w:t>Objetivo del proyecto</w:t>
      </w:r>
    </w:p>
    <w:p>
      <w:r>
        <w:t>Un coordinador que dirige la oferta académica de una sede no necesita ver cada grupo, cada docente y cada aula por separado: necesita una vista que le diga, de un vistazo, qué está a punto de fallar. Un grupo sin docente asignado dos semanas antes de iniciar clases no es un dato curioso, es una alerta.</w:t>
      </w:r>
    </w:p>
    <w:p>
      <w:r>
        <w:t>Este proyecto construye esa capa de analítica: reportes exportables de la oferta y de la carga docente, y un tablero de riesgos que se actualiza solo, sin que nadie tenga que recargar la página, cada vez que cambian los datos de fondo.</w:t>
      </w:r>
    </w:p>
    <w:p>
      <w:r>
        <w:t>Como este módulo consume datos que en el sistema completo vendrían de los módulos de Oferta y de Docentes, el equipo va a construir primero una capa mínima de datos base (INFRA-01) que le permita alimentar sus propios reportes con información realista. Esa capa no es el foco de evaluación del proyecto: el foco es lo que se construye encima de ella. La actualización del tablero en tiempo real, sin recargar, es la parte técnicamente más exigente: van a necesitar un mecanismo de sincronización entre el backend y la interfaz (Livewire polling, WebSockets, o el mecanismo que el equipo decida y documente en el diario de decisiones técnicas).</w:t>
      </w:r>
    </w:p>
    <w:p>
      <w:pPr>
        <w:pStyle w:val="Heading2"/>
      </w:pPr>
      <w:r>
        <w:t>Requerimientos funcionales que el equipo debe implementar</w:t>
      </w:r>
    </w:p>
    <w:p>
      <w:r>
        <w:rPr>
          <w:i/>
        </w:rPr>
        <w:t>Cada requerimiento incluye su descripción, las entradas que el sistema debe aceptar, el flujo exacto que debe seguir y las salidas que debe producir. Los criterios de aceptación son la base de la evaluación funcional y de la defensa oral: un requerimiento que no cumple su criterio de aceptación se considera no implementado, aunque el código exista.</w:t>
      </w:r>
    </w:p>
    <w:p>
      <w:pPr>
        <w:pStyle w:val="Heading3"/>
      </w:pPr>
      <w:r>
        <w:t>INFRA-01 — Capa Mínima de Datos Base para Reportes (requerimiento propio del proyecto, no proviene del SRS)</w:t>
      </w:r>
    </w:p>
    <w:p>
      <w:r>
        <w:rPr>
          <w:i/>
          <w:color w:val="404040"/>
          <w:sz w:val="20"/>
        </w:rPr>
        <w:t>Prioridad: Alta (de infraestructura, no evaluable como módulo de Oferta)</w:t>
      </w:r>
    </w:p>
    <w:p>
      <w:r>
        <w:rPr>
          <w:b/>
        </w:rPr>
        <w:t xml:space="preserve">Descripción: </w:t>
      </w:r>
      <w:r>
        <w:t>Para poder generar los reportes y el tablero, el equipo debe construir un CRUD administrativo mínimo que permita cargar docentes, aulas y grupos académicos. Este requerimiento existe únicamente para que RE-01, RE-02 y RE-04 tengan datos reales sobre los cuales operar; no forma parte de la evaluación de requerimientos funcionales del módulo y la defensa oral no profundiza en él más allá de confirmar que produce datos consistentes.</w:t>
      </w:r>
    </w:p>
    <w:p>
      <w:r>
        <w:rPr>
          <w:b/>
        </w:rPr>
        <w:t>Entradas:</w:t>
      </w:r>
    </w:p>
    <w:p>
      <w:pPr>
        <w:pStyle w:val="ListBullet"/>
      </w:pPr>
      <w:r>
        <w:t>Docentes: cédula, nombre, jornada estimada de referencia.</w:t>
      </w:r>
    </w:p>
    <w:p>
      <w:pPr>
        <w:pStyle w:val="ListBullet"/>
      </w:pPr>
      <w:r>
        <w:t>Aulas: nombre, capacidad.</w:t>
      </w:r>
    </w:p>
    <w:p>
      <w:pPr>
        <w:pStyle w:val="ListBullet"/>
      </w:pPr>
      <w:r>
        <w:t>Grupos académicos: código de curso, docente asignado (opcional), aula asignada (opcional), cuatrimestre, matrícula estimada, jornada asignada al docente en ese grupo.</w:t>
      </w:r>
    </w:p>
    <w:p>
      <w:r>
        <w:rPr>
          <w:b/>
        </w:rPr>
        <w:t>Flujo:</w:t>
      </w:r>
    </w:p>
    <w:p>
      <w:pPr>
        <w:pStyle w:val="ListNumber"/>
      </w:pPr>
      <w:r>
        <w:t>El Administrador de datos de prueba carga docentes, aulas y grupos mediante un formulario simple o una importación CSV.</w:t>
      </w:r>
    </w:p>
    <w:p>
      <w:pPr>
        <w:pStyle w:val="ListNumber"/>
      </w:pPr>
      <w:r>
        <w:t>El sistema permite dejar el campo docente o aula de un grupo vacío deliberadamente, para poder generar los escenarios de riesgo que evalúa RE-04.</w:t>
      </w:r>
    </w:p>
    <w:p>
      <w:r>
        <w:rPr>
          <w:b/>
        </w:rPr>
        <w:t>Salidas:</w:t>
      </w:r>
    </w:p>
    <w:p>
      <w:pPr>
        <w:pStyle w:val="ListBullet"/>
      </w:pPr>
      <w:r>
        <w:t>Base de datos de prueba con al menos 30 grupos, 15 docentes y 10 aulas, incluyendo algunos grupos incompletos a propósito (sin docente o sin aula).</w:t>
      </w:r>
    </w:p>
    <w:p>
      <w:r>
        <w:rPr>
          <w:b/>
        </w:rPr>
        <w:t>Criterios de aceptación:</w:t>
      </w:r>
    </w:p>
    <w:p>
      <w:pPr>
        <w:pStyle w:val="ListBullet"/>
      </w:pPr>
      <w:r>
        <w:t>El conjunto de datos cargado permite generar al menos un caso de cada tipo de riesgo definido en RE-04.</w:t>
      </w:r>
    </w:p>
    <w:p/>
    <w:p>
      <w:pPr>
        <w:pStyle w:val="Heading3"/>
      </w:pPr>
      <w:r>
        <w:t>RE-01 — Reporte de Oferta Académica por Cuatrimestre</w:t>
      </w:r>
    </w:p>
    <w:p>
      <w:r>
        <w:rPr>
          <w:i/>
          <w:color w:val="404040"/>
          <w:sz w:val="20"/>
        </w:rPr>
        <w:t>Prioridad: Alta</w:t>
      </w:r>
    </w:p>
    <w:p>
      <w:r>
        <w:rPr>
          <w:b/>
        </w:rPr>
        <w:t xml:space="preserve">Descripción: </w:t>
      </w:r>
      <w:r>
        <w:t>El sistema debe generar un reporte exportable de la oferta de un cuatrimestre con: grupos, docentes asignados, aula, modalidad y estado del grupo, en formatos Excel (.xlsx) y PDF, generado en menos de 30 segundos.</w:t>
      </w:r>
    </w:p>
    <w:p>
      <w:r>
        <w:rPr>
          <w:b/>
        </w:rPr>
        <w:t>Entradas:</w:t>
      </w:r>
    </w:p>
    <w:p>
      <w:pPr>
        <w:pStyle w:val="ListBullet"/>
      </w:pPr>
      <w:r>
        <w:t>Cuatrimestre seleccionado por el usuario.</w:t>
      </w:r>
    </w:p>
    <w:p>
      <w:r>
        <w:rPr>
          <w:b/>
        </w:rPr>
        <w:t>Flujo:</w:t>
      </w:r>
    </w:p>
    <w:p>
      <w:pPr>
        <w:pStyle w:val="ListNumber"/>
      </w:pPr>
      <w:r>
        <w:t>El usuario selecciona un cuatrimestre y solicita el reporte.</w:t>
      </w:r>
    </w:p>
    <w:p>
      <w:pPr>
        <w:pStyle w:val="ListNumber"/>
      </w:pPr>
      <w:r>
        <w:t>El sistema recopila todos los grupos de ese cuatrimestre con docente, aula, modalidad y estado.</w:t>
      </w:r>
    </w:p>
    <w:p>
      <w:pPr>
        <w:pStyle w:val="ListNumber"/>
      </w:pPr>
      <w:r>
        <w:t>Genera simultáneamente un archivo .xlsx y un archivo PDF con esa información.</w:t>
      </w:r>
    </w:p>
    <w:p>
      <w:pPr>
        <w:pStyle w:val="ListNumber"/>
      </w:pPr>
      <w:r>
        <w:t>Mide y registra en el log el tiempo transcurrido desde la solicitud hasta la disponibilidad de descarga.</w:t>
      </w:r>
    </w:p>
    <w:p>
      <w:r>
        <w:rPr>
          <w:b/>
        </w:rPr>
        <w:t>Salidas:</w:t>
      </w:r>
    </w:p>
    <w:p>
      <w:pPr>
        <w:pStyle w:val="ListBullet"/>
      </w:pPr>
      <w:r>
        <w:t>Dos archivos descargables (.xlsx y PDF) con la misma información, generados en menos de 30 segundos.</w:t>
      </w:r>
    </w:p>
    <w:p>
      <w:r>
        <w:rPr>
          <w:b/>
        </w:rPr>
        <w:t>Criterios de aceptación:</w:t>
      </w:r>
    </w:p>
    <w:p>
      <w:pPr>
        <w:pStyle w:val="ListBullet"/>
      </w:pPr>
      <w:r>
        <w:t>Solicitado el reporte, el sistema produce ambos archivos con todos los grupos del cuatrimestre en menos de 30 segundos, tiempo verificable en el log del sistema.</w:t>
      </w:r>
    </w:p>
    <w:p/>
    <w:p>
      <w:pPr>
        <w:pStyle w:val="Heading3"/>
      </w:pPr>
      <w:r>
        <w:t>RE-02 — Reporte de Carga Docente por Profesor</w:t>
      </w:r>
    </w:p>
    <w:p>
      <w:r>
        <w:rPr>
          <w:i/>
          <w:color w:val="404040"/>
          <w:sz w:val="20"/>
        </w:rPr>
        <w:t>Prioridad: Alta</w:t>
      </w:r>
    </w:p>
    <w:p>
      <w:r>
        <w:rPr>
          <w:b/>
        </w:rPr>
        <w:t xml:space="preserve">Descripción: </w:t>
      </w:r>
      <w:r>
        <w:t>El sistema debe generar un reporte individual por docente con todos los grupos asignados en un cuatrimestre, la jornada total acumulada y su comparación contra la jornada estimada de referencia, con la leyenda "Jornada indicativa — sujeta a confirmación de RRHH" en todas sus páginas. Sobrecontratación (jornada asignada &gt; jornada estimada) se marca en un color; subcontratación significativa (asignada &lt; 80% de la estimada) en otro.</w:t>
      </w:r>
    </w:p>
    <w:p>
      <w:r>
        <w:rPr>
          <w:b/>
        </w:rPr>
        <w:t>Entradas:</w:t>
      </w:r>
    </w:p>
    <w:p>
      <w:pPr>
        <w:pStyle w:val="ListBullet"/>
      </w:pPr>
      <w:r>
        <w:t>Docente seleccionado, cuatrimestre.</w:t>
      </w:r>
    </w:p>
    <w:p>
      <w:r>
        <w:rPr>
          <w:b/>
        </w:rPr>
        <w:t>Flujo:</w:t>
      </w:r>
    </w:p>
    <w:p>
      <w:pPr>
        <w:pStyle w:val="ListNumber"/>
      </w:pPr>
      <w:r>
        <w:t>El usuario selecciona un docente y un cuatrimestre.</w:t>
      </w:r>
    </w:p>
    <w:p>
      <w:pPr>
        <w:pStyle w:val="ListNumber"/>
      </w:pPr>
      <w:r>
        <w:t>El sistema suma la jornada de todos los grupos asignados a ese docente en ese cuatrimestre.</w:t>
      </w:r>
    </w:p>
    <w:p>
      <w:pPr>
        <w:pStyle w:val="ListNumber"/>
      </w:pPr>
      <w:r>
        <w:t>Compara la jornada asignada contra la jornada estimada configurada para ese docente.</w:t>
      </w:r>
    </w:p>
    <w:p>
      <w:pPr>
        <w:pStyle w:val="ListNumber"/>
      </w:pPr>
      <w:r>
        <w:t>Aplica el color correspondiente según el resultado de la comparación (sobrecontratación, subcontratación significativa, o ninguna alerta).</w:t>
      </w:r>
    </w:p>
    <w:p>
      <w:pPr>
        <w:pStyle w:val="ListNumber"/>
      </w:pPr>
      <w:r>
        <w:t>Incluye la leyenda de jornada indicativa en el encabezado o pie de cada página del reporte.</w:t>
      </w:r>
    </w:p>
    <w:p>
      <w:r>
        <w:rPr>
          <w:b/>
        </w:rPr>
        <w:t>Salidas:</w:t>
      </w:r>
    </w:p>
    <w:p>
      <w:pPr>
        <w:pStyle w:val="ListBullet"/>
      </w:pPr>
      <w:r>
        <w:t>Reporte con la tabla de grupos, jornada asignada, jornada estimada, color de alerta correspondiente y la leyenda obligatoria en cada página.</w:t>
      </w:r>
    </w:p>
    <w:p>
      <w:r>
        <w:rPr>
          <w:b/>
        </w:rPr>
        <w:t>Criterios de aceptación:</w:t>
      </w:r>
    </w:p>
    <w:p>
      <w:pPr>
        <w:pStyle w:val="ListBullet"/>
      </w:pPr>
      <w:r>
        <w:t>Generado el reporte de un docente, muestra la tabla con las columnas indicadas, el color de alerta correcto y la leyenda en cada página.</w:t>
      </w:r>
    </w:p>
    <w:p/>
    <w:p>
      <w:pPr>
        <w:pStyle w:val="Heading3"/>
      </w:pPr>
      <w:r>
        <w:t>RE-04 — Tablero de Riesgos de la Oferta (alcance reducido para este proyecto)</w:t>
      </w:r>
    </w:p>
    <w:p>
      <w:r>
        <w:rPr>
          <w:i/>
          <w:color w:val="404040"/>
          <w:sz w:val="20"/>
        </w:rPr>
        <w:t>Prioridad: Alta</w:t>
      </w:r>
    </w:p>
    <w:p>
      <w:r>
        <w:rPr>
          <w:b/>
        </w:rPr>
        <w:t xml:space="preserve">Descripción: </w:t>
      </w:r>
      <w:r>
        <w:t>El SRS original define nueve elementos de riesgo; este proyecto reduce el alcance a cuatro, explícitamente definidos: (1) grupos sin docente asignado; (2) grupos sin aula asignada; (3) grupos con matrícula estimada inferior a un umbral configurable (valor inicial: 5); (4) docentes con jornada en conflicto (suma de jornada asignada mayor a 1.0 en el mismo cuatrimestre). Clasificación de nivel: Alto para (1) y (2), Medio para (4), Bajo para (3). El tablero debe reflejar los cambios en los datos subyacentes en 60 segundos o menos, sin que el usuario recargue la página manualmente.</w:t>
      </w:r>
    </w:p>
    <w:p>
      <w:r>
        <w:rPr>
          <w:b/>
        </w:rPr>
        <w:t>Entradas:</w:t>
      </w:r>
    </w:p>
    <w:p>
      <w:pPr>
        <w:pStyle w:val="ListBullet"/>
      </w:pPr>
      <w:r>
        <w:t>Cambios en los datos base (grupos, docentes) realizados por un usuario administrativo mientras el tablero está abierto en otra sesión o pestaña.</w:t>
      </w:r>
    </w:p>
    <w:p>
      <w:r>
        <w:rPr>
          <w:b/>
        </w:rPr>
        <w:t>Flujo:</w:t>
      </w:r>
    </w:p>
    <w:p>
      <w:pPr>
        <w:pStyle w:val="ListNumber"/>
      </w:pPr>
      <w:r>
        <w:t>El sistema evalúa, mediante un mecanismo de sincronización periódica o push, los cuatro elementos de riesgo definidos.</w:t>
      </w:r>
    </w:p>
    <w:p>
      <w:pPr>
        <w:pStyle w:val="ListNumber"/>
      </w:pPr>
      <w:r>
        <w:t>Cuando detecta un grupo sin docente, sin aula, con matrícula bajo el umbral, o un docente con jornada en conflicto, agrega un elemento al tablero con su nivel correspondiente.</w:t>
      </w:r>
    </w:p>
    <w:p>
      <w:pPr>
        <w:pStyle w:val="ListNumber"/>
      </w:pPr>
      <w:r>
        <w:t>Si el dato subyacente se corrige (se asigna docente, se asigna aula, sube la matrícula, se corrige la jornada), el elemento desaparece del tablero.</w:t>
      </w:r>
    </w:p>
    <w:p>
      <w:pPr>
        <w:pStyle w:val="ListNumber"/>
      </w:pPr>
      <w:r>
        <w:t>Todo el ciclo (aparición o desaparición del elemento) debe completarse en 60 segundos o menos desde el cambio de dato, sin recarga manual de la página.</w:t>
      </w:r>
    </w:p>
    <w:p>
      <w:r>
        <w:rPr>
          <w:b/>
        </w:rPr>
        <w:t>Salidas:</w:t>
      </w:r>
    </w:p>
    <w:p>
      <w:pPr>
        <w:pStyle w:val="ListBullet"/>
      </w:pPr>
      <w:r>
        <w:t>Tablero agrupado por nivel (Alto, Medio, Bajo); cada elemento con el identificador del grupo o docente afectado y enlace directo a ese registro.</w:t>
      </w:r>
    </w:p>
    <w:p>
      <w:r>
        <w:rPr>
          <w:b/>
        </w:rPr>
        <w:t>Criterios de aceptación:</w:t>
      </w:r>
    </w:p>
    <w:p>
      <w:pPr>
        <w:pStyle w:val="ListBullet"/>
      </w:pPr>
      <w:r>
        <w:t>Al crear un grupo sin docente, aparece en el tablero como riesgo Alto en 60 segundos o menos, sin recargar la página.</w:t>
      </w:r>
    </w:p>
    <w:p>
      <w:pPr>
        <w:pStyle w:val="ListBullet"/>
      </w:pPr>
      <w:r>
        <w:t>Al asignarle un docente a ese grupo, el elemento desaparece del tablero en 60 segundos o menos, sin recargar la página.</w:t>
      </w:r>
    </w:p>
    <w:p/>
    <w:p>
      <w:r>
        <w:br w:type="page"/>
      </w:r>
    </w:p>
    <w:p>
      <w:pPr>
        <w:pStyle w:val="Heading1"/>
      </w:pPr>
      <w:r>
        <w:t>3. Condiciones y Reglas de Desarrollo</w:t>
      </w:r>
    </w:p>
    <w:p>
      <w:r>
        <w:t>Estas condiciones aplican sin excepción a los cinco módulos ofrecidos en este curso y forman parte de los criterios de evaluación de la defensa final.</w:t>
      </w:r>
    </w:p>
    <w:p>
      <w:pPr>
        <w:pStyle w:val="Heading2"/>
      </w:pPr>
      <w:r>
        <w:t>a. Modalidad de trabajo</w:t>
      </w:r>
    </w:p>
    <w:p>
      <w:r>
        <w:t>Equipos de máximo 3 estudiantes. No se aceptan proyectos individuales ni equipos de más de 3 integrantes; la carga de trabajo de cada módulo está calibrada para ese tamaño de equipo.</w:t>
      </w:r>
    </w:p>
    <w:p>
      <w:pPr>
        <w:pStyle w:val="Heading2"/>
      </w:pPr>
      <w:r>
        <w:t>b. Requerimientos técnicos obligatorios</w:t>
      </w:r>
    </w:p>
    <w:p>
      <w:r>
        <w:t>La aplicación debe ser una aplicación web completa que integre, sin excepción, las cinco unidades del curso: framework TALL stack (Tailwind CSS, Alpine.js, Laravel, Livewire) + TypeScript + consumo de al menos una API REST externa + autenticación JWT + variables de entorno + pruebas unitarias básicas + repositorio Git documentado (historial de commits legible, README con instrucciones de instalación).</w:t>
      </w:r>
    </w:p>
    <w:p>
      <w:r>
        <w:t>Toda la lógica de dominio debe organizarse bajo Arquitectura Hexagonal (Ports &amp; Adapters) y Domain-Driven Design (DDD). El paquete de dominio no puede importar clases de Laravel, Livewire ni Alpine.js: si al eliminar el framework el dominio deja de compilar, la arquitectura está mal separada.</w:t>
      </w:r>
    </w:p>
    <w:p>
      <w:pPr>
        <w:pStyle w:val="Heading2"/>
      </w:pPr>
      <w:r>
        <w:t>c. Revisiones de avance</w:t>
      </w:r>
    </w:p>
    <w:p>
      <w:r>
        <w:t>Tres revisiones obligatorias en las semanas 10, 12 y 14. No tienen nota propia, pero son requisito de admisibilidad para presentar la defensa final: sin las tres revisiones aprobadas, el equipo no puede defender el proyecto.</w:t>
      </w:r>
    </w:p>
    <w:p>
      <w:r>
        <w:t>El objetivo de estas revisiones es que el sistema se construya de forma progresiva y verificable, y no como una entrega armada la noche anterior a la fecha límite.</w:t>
      </w:r>
    </w:p>
    <w:p>
      <w:pPr>
        <w:pStyle w:val="Heading2"/>
      </w:pPr>
      <w:r>
        <w:t>d. Diario de decisiones técnicas e IA (10% de la nota final)</w:t>
      </w:r>
    </w:p>
    <w:p>
      <w:r>
        <w:t>Documento donde el equipo registra, a lo largo de todo el desarrollo: qué se le consultó a la IA, qué se aceptó de su respuesta, qué se rechazó y por qué, qué hubo que corregir porque estaba incorrecto o incompleto, y qué se aprendió del proceso.</w:t>
      </w:r>
    </w:p>
    <w:p>
      <w:r>
        <w:t>Este diario es la evidencia de que el criterio técnico del equipo, y no la herramienta, dirigió las decisiones del proyecto. Un diario vacío o genérico ('la IA ayudó con el código') no cumple el requisito.</w:t>
      </w:r>
    </w:p>
    <w:p>
      <w:pPr>
        <w:pStyle w:val="Heading2"/>
      </w:pPr>
      <w:r>
        <w:t>e. Defensa oral</w:t>
      </w:r>
    </w:p>
    <w:p>
      <w:r>
        <w:t>El docente puede señalar cualquier función o componente del proyecto y pedir que se explique su funcionamiento. Puede solicitar una modificación menor en vivo (agregar un campo, cambiar una validación, manejar un nuevo código de error) y observar cómo el equipo la resuelve.</w:t>
      </w:r>
    </w:p>
    <w:p>
      <w:r>
        <w:t>También puede preguntar sobre decisiones documentadas en el diario de IA. La capacidad de anticipar qué se va a romper con un cambio antes de ejecutarlo es el indicador más claro de comprensión real del sistema construido, más que el código ya escrito.</w:t>
      </w:r>
    </w:p>
    <w:p>
      <w:pPr>
        <w:pStyle w:val="Heading2"/>
      </w:pPr>
      <w:r>
        <w:t>f. Uso de IA en el proyecto</w:t>
      </w:r>
    </w:p>
    <w:p>
      <w:r>
        <w:t>Está explícitamente permitido y debe documentarse en el diario de decisiones. El mercado laboral usa IA de forma rutinaria; este curso no evalúa si el estudiante puede generar código con ella, sino si tiene el criterio técnico para usarla bien: detectar sus errores, cuestionar sus decisiones y decidir qué se integra al proyecto y qué se descarta.</w:t>
      </w:r>
    </w:p>
    <w:p>
      <w:r>
        <w:br w:type="page"/>
      </w:r>
    </w:p>
    <w:p>
      <w:pPr>
        <w:pStyle w:val="Heading1"/>
      </w:pPr>
      <w:r>
        <w:t>4. Rúbricas de Evaluación</w:t>
      </w:r>
    </w:p>
    <w:p>
      <w:r>
        <w:t>Las tres rúbricas siguientes se calificaron sobre 100 puntos cada una, en cinco rubros de 20 puntos, con tres niveles de desempeño: Excelente, Regular e Insuficiente. Junto con las condiciones de la Sección 3, son la base objetiva de la evaluación del proyecto.</w:t>
      </w:r>
    </w:p>
    <w:p>
      <w:pPr>
        <w:pStyle w:val="Heading2"/>
      </w:pPr>
      <w:r>
        <w:t>4.1 Rúbrica de Funcionalidad</w:t>
      </w:r>
    </w:p>
    <w:p>
      <w:r>
        <w:rPr>
          <w:i/>
        </w:rPr>
        <w:t>Evalúa exclusivamente si el módulo hace lo que el SRS adaptado exige: los requerimientos funcionales de la Sección 2, sus reglas de negocio y su integración técnica obligatoria.</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val="clear" w:color="auto" w:fill="1F3B57"/>
          </w:tcPr>
          <w:p>
            <w:r/>
            <w:r>
              <w:rPr>
                <w:b/>
                <w:color w:val="FFFFFF"/>
                <w:sz w:val="19"/>
              </w:rPr>
              <w:t>Rubro (20 pts. c/u)</w:t>
            </w:r>
          </w:p>
        </w:tc>
        <w:tc>
          <w:tcPr>
            <w:tcW w:type="dxa" w:w="2520"/>
            <w:shd w:val="clear" w:color="auto" w:fill="1F3B57"/>
          </w:tcPr>
          <w:p>
            <w:r/>
            <w:r>
              <w:rPr>
                <w:b/>
                <w:color w:val="FFFFFF"/>
                <w:sz w:val="19"/>
              </w:rPr>
              <w:t>Excelente (17-20 pts.)</w:t>
            </w:r>
          </w:p>
        </w:tc>
        <w:tc>
          <w:tcPr>
            <w:tcW w:type="dxa" w:w="2520"/>
            <w:shd w:val="clear" w:color="auto" w:fill="1F3B57"/>
          </w:tcPr>
          <w:p>
            <w:r/>
            <w:r>
              <w:rPr>
                <w:b/>
                <w:color w:val="FFFFFF"/>
                <w:sz w:val="19"/>
              </w:rPr>
              <w:t>Regular (9-16 pts.)</w:t>
            </w:r>
          </w:p>
        </w:tc>
        <w:tc>
          <w:tcPr>
            <w:tcW w:type="dxa" w:w="2376"/>
            <w:shd w:val="clear" w:color="auto" w:fill="1F3B57"/>
          </w:tcPr>
          <w:p>
            <w:r/>
            <w:r>
              <w:rPr>
                <w:b/>
                <w:color w:val="FFFFFF"/>
                <w:sz w:val="19"/>
              </w:rPr>
              <w:t>Insuficiente (0-8 pts.)</w:t>
            </w:r>
          </w:p>
        </w:tc>
      </w:tr>
      <w:tr>
        <w:tc>
          <w:tcPr>
            <w:tcW w:type="dxa" w:w="1944"/>
          </w:tcPr>
          <w:p>
            <w:r/>
            <w:r>
              <w:rPr>
                <w:b/>
                <w:sz w:val="18"/>
              </w:rPr>
              <w:t>Completitud de reportes y tablero (RE-01, RE-02, RE-04)</w:t>
            </w:r>
          </w:p>
        </w:tc>
        <w:tc>
          <w:tcPr>
            <w:tcW w:type="dxa" w:w="2520"/>
          </w:tcPr>
          <w:p>
            <w:r/>
            <w:r>
              <w:rPr>
                <w:b w:val="0"/>
                <w:sz w:val="18"/>
              </w:rPr>
              <w:t>Implementa los tres requerimientos evaluables completos sobre datos reales generados por la capa base (INFRA-01), con toda la información especificada en cada uno.</w:t>
            </w:r>
          </w:p>
        </w:tc>
        <w:tc>
          <w:tcPr>
            <w:tcW w:type="dxa" w:w="2520"/>
          </w:tcPr>
          <w:p>
            <w:r/>
            <w:r>
              <w:rPr>
                <w:b w:val="0"/>
                <w:sz w:val="18"/>
              </w:rPr>
              <w:t>Implementa los tres requerimientos, pero alguno omite información secundaria especificada (por ejemplo, falta una columna del reporte de carga docente).</w:t>
            </w:r>
          </w:p>
        </w:tc>
        <w:tc>
          <w:tcPr>
            <w:tcW w:type="dxa" w:w="2376"/>
          </w:tcPr>
          <w:p>
            <w:r/>
            <w:r>
              <w:rPr>
                <w:b w:val="0"/>
                <w:sz w:val="18"/>
              </w:rPr>
              <w:t>Falta al menos uno de los tres requerimientos evaluables, o los implementados no cumplen sus criterios de aceptación.</w:t>
            </w:r>
          </w:p>
        </w:tc>
      </w:tr>
      <w:tr>
        <w:tc>
          <w:tcPr>
            <w:tcW w:type="dxa" w:w="1944"/>
            <w:shd w:val="clear" w:color="auto" w:fill="F2F5F8"/>
          </w:tcPr>
          <w:p>
            <w:r/>
            <w:r>
              <w:rPr>
                <w:b/>
                <w:sz w:val="18"/>
              </w:rPr>
              <w:t>Correctitud de los reportes exportables (RE-01, RE-02)</w:t>
            </w:r>
          </w:p>
        </w:tc>
        <w:tc>
          <w:tcPr>
            <w:tcW w:type="dxa" w:w="2520"/>
            <w:shd w:val="clear" w:color="auto" w:fill="F2F5F8"/>
          </w:tcPr>
          <w:p>
            <w:r/>
            <w:r>
              <w:rPr>
                <w:b w:val="0"/>
                <w:sz w:val="18"/>
              </w:rPr>
              <w:t>Ambos reportes se generan en los formatos correctos (.xlsx y PDF para RE-01), con la información completa, los colores de alerta correctos y la leyenda obligatoria en RE-02, en menos de 30 segundos.</w:t>
            </w:r>
          </w:p>
        </w:tc>
        <w:tc>
          <w:tcPr>
            <w:tcW w:type="dxa" w:w="2520"/>
            <w:shd w:val="clear" w:color="auto" w:fill="F2F5F8"/>
          </w:tcPr>
          <w:p>
            <w:r/>
            <w:r>
              <w:rPr>
                <w:b w:val="0"/>
                <w:sz w:val="18"/>
              </w:rPr>
              <w:t>Los reportes se generan correctamente, pero con inconsistencias menores de formato, color o tiempo de generación cercano al límite.</w:t>
            </w:r>
          </w:p>
        </w:tc>
        <w:tc>
          <w:tcPr>
            <w:tcW w:type="dxa" w:w="2376"/>
            <w:shd w:val="clear" w:color="auto" w:fill="F2F5F8"/>
          </w:tcPr>
          <w:p>
            <w:r/>
            <w:r>
              <w:rPr>
                <w:b w:val="0"/>
                <w:sz w:val="18"/>
              </w:rPr>
              <w:t>Alguno de los reportes no se genera en el formato requerido, o supera de forma consistente el tiempo máximo de 30 segundos.</w:t>
            </w:r>
          </w:p>
        </w:tc>
      </w:tr>
      <w:tr>
        <w:tc>
          <w:tcPr>
            <w:tcW w:type="dxa" w:w="1944"/>
          </w:tcPr>
          <w:p>
            <w:r/>
            <w:r>
              <w:rPr>
                <w:b/>
                <w:sz w:val="18"/>
              </w:rPr>
              <w:t>Correctitud del tablero de riesgos (RE-04)</w:t>
            </w:r>
          </w:p>
        </w:tc>
        <w:tc>
          <w:tcPr>
            <w:tcW w:type="dxa" w:w="2520"/>
          </w:tcPr>
          <w:p>
            <w:r/>
            <w:r>
              <w:rPr>
                <w:b w:val="0"/>
                <w:sz w:val="18"/>
              </w:rPr>
              <w:t>Detecta correctamente los cuatro elementos de riesgo definidos (sin docente, sin aula, matrícula bajo el umbral, jornada en conflicto) con su nivel correcto (Alto, Medio, Bajo).</w:t>
            </w:r>
          </w:p>
        </w:tc>
        <w:tc>
          <w:tcPr>
            <w:tcW w:type="dxa" w:w="2520"/>
          </w:tcPr>
          <w:p>
            <w:r/>
            <w:r>
              <w:rPr>
                <w:b w:val="0"/>
                <w:sz w:val="18"/>
              </w:rPr>
              <w:t>Detecta los cuatro elementos, pero clasifica incorrectamente el nivel de alguno en ciertos casos.</w:t>
            </w:r>
          </w:p>
        </w:tc>
        <w:tc>
          <w:tcPr>
            <w:tcW w:type="dxa" w:w="2376"/>
          </w:tcPr>
          <w:p>
            <w:r/>
            <w:r>
              <w:rPr>
                <w:b w:val="0"/>
                <w:sz w:val="18"/>
              </w:rPr>
              <w:t>El tablero no detecta al menos uno de los cuatro elementos de riesgo definidos.</w:t>
            </w:r>
          </w:p>
        </w:tc>
      </w:tr>
      <w:tr>
        <w:tc>
          <w:tcPr>
            <w:tcW w:type="dxa" w:w="1944"/>
            <w:shd w:val="clear" w:color="auto" w:fill="F2F5F8"/>
          </w:tcPr>
          <w:p>
            <w:r/>
            <w:r>
              <w:rPr>
                <w:b/>
                <w:sz w:val="18"/>
              </w:rPr>
              <w:t>Actualización en tiempo real del tablero (RE-04)</w:t>
            </w:r>
          </w:p>
        </w:tc>
        <w:tc>
          <w:tcPr>
            <w:tcW w:type="dxa" w:w="2520"/>
            <w:shd w:val="clear" w:color="auto" w:fill="F2F5F8"/>
          </w:tcPr>
          <w:p>
            <w:r/>
            <w:r>
              <w:rPr>
                <w:b w:val="0"/>
                <w:sz w:val="18"/>
              </w:rPr>
              <w:t>El tablero refleja la aparición y desaparición de elementos de riesgo en 60 segundos o menos desde el cambio de dato, sin recarga manual, de forma consistente.</w:t>
            </w:r>
          </w:p>
        </w:tc>
        <w:tc>
          <w:tcPr>
            <w:tcW w:type="dxa" w:w="2520"/>
            <w:shd w:val="clear" w:color="auto" w:fill="F2F5F8"/>
          </w:tcPr>
          <w:p>
            <w:r/>
            <w:r>
              <w:rPr>
                <w:b w:val="0"/>
                <w:sz w:val="18"/>
              </w:rPr>
              <w:t>El tablero se actualiza sin recarga manual, pero de forma inconsistente o con una latencia superior a 60 segundos en algunos casos.</w:t>
            </w:r>
          </w:p>
        </w:tc>
        <w:tc>
          <w:tcPr>
            <w:tcW w:type="dxa" w:w="2376"/>
            <w:shd w:val="clear" w:color="auto" w:fill="F2F5F8"/>
          </w:tcPr>
          <w:p>
            <w:r/>
            <w:r>
              <w:rPr>
                <w:b w:val="0"/>
                <w:sz w:val="18"/>
              </w:rPr>
              <w:t>El tablero requiere recarga manual de la página para reflejar cambios en los datos subyacentes.</w:t>
            </w:r>
          </w:p>
        </w:tc>
      </w:tr>
      <w:tr>
        <w:tc>
          <w:tcPr>
            <w:tcW w:type="dxa" w:w="1944"/>
          </w:tcPr>
          <w:p>
            <w:r/>
            <w:r>
              <w:rPr>
                <w:b/>
                <w:sz w:val="18"/>
              </w:rPr>
              <w:t>Integración técnica obligatoria (stack completo)</w:t>
            </w:r>
          </w:p>
        </w:tc>
        <w:tc>
          <w:tcPr>
            <w:tcW w:type="dxa" w:w="2520"/>
          </w:tcPr>
          <w:p>
            <w:r/>
            <w:r>
              <w:rPr>
                <w:b w:val="0"/>
                <w:sz w:val="18"/>
              </w:rPr>
              <w:t>Integra correctamente TALL + TypeScript + API REST externa + JWT + variables de entorno + pruebas unitarias + Arquitectura Hexagonal/DDD + repositorio Git documentado, todo funcional y verificable.</w:t>
            </w:r>
          </w:p>
        </w:tc>
        <w:tc>
          <w:tcPr>
            <w:tcW w:type="dxa" w:w="2520"/>
          </w:tcPr>
          <w:p>
            <w:r/>
            <w:r>
              <w:rPr>
                <w:b w:val="0"/>
                <w:sz w:val="18"/>
              </w:rPr>
              <w:t>Integra la mayoría de los elementos técnicos obligatorios, con alguno ausente o parcialmente funcional.</w:t>
            </w:r>
          </w:p>
        </w:tc>
        <w:tc>
          <w:tcPr>
            <w:tcW w:type="dxa" w:w="2376"/>
          </w:tcPr>
          <w:p>
            <w:r/>
            <w:r>
              <w:rPr>
                <w:b w:val="0"/>
                <w:sz w:val="18"/>
              </w:rPr>
              <w:t>Omite dos o más elementos técnicos obligatorios, o el dominio depende de clases del framework.</w:t>
            </w:r>
          </w:p>
        </w:tc>
      </w:tr>
    </w:tbl>
    <w:p/>
    <w:p>
      <w:r>
        <w:rPr>
          <w:i/>
          <w:color w:val="404040"/>
          <w:sz w:val="19"/>
        </w:rPr>
        <w:t>Puntaje total: 100 puntos, equivalentes al 15% de la nota final del proyecto.</w:t>
      </w:r>
    </w:p>
    <w:p>
      <w:pPr>
        <w:pStyle w:val="Heading2"/>
      </w:pPr>
      <w:r>
        <w:t>4.2 Rúbrica de Defensa Oral</w:t>
      </w:r>
    </w:p>
    <w:p>
      <w:r>
        <w:rPr>
          <w:i/>
        </w:rPr>
        <w:t>Evalúa el dominio real del tema por parte de cada estudiante, no la calidad del código en sí: la capacidad de explicar, justificar y modificar el sistema en vivo (condición e de la Sección 3).</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val="clear" w:color="auto" w:fill="1F3B57"/>
          </w:tcPr>
          <w:p>
            <w:r/>
            <w:r>
              <w:rPr>
                <w:b/>
                <w:color w:val="FFFFFF"/>
                <w:sz w:val="19"/>
              </w:rPr>
              <w:t>Rubro (20 pts. c/u)</w:t>
            </w:r>
          </w:p>
        </w:tc>
        <w:tc>
          <w:tcPr>
            <w:tcW w:type="dxa" w:w="2520"/>
            <w:shd w:val="clear" w:color="auto" w:fill="1F3B57"/>
          </w:tcPr>
          <w:p>
            <w:r/>
            <w:r>
              <w:rPr>
                <w:b/>
                <w:color w:val="FFFFFF"/>
                <w:sz w:val="19"/>
              </w:rPr>
              <w:t>Excelente (17-20 pts.)</w:t>
            </w:r>
          </w:p>
        </w:tc>
        <w:tc>
          <w:tcPr>
            <w:tcW w:type="dxa" w:w="2520"/>
            <w:shd w:val="clear" w:color="auto" w:fill="1F3B57"/>
          </w:tcPr>
          <w:p>
            <w:r/>
            <w:r>
              <w:rPr>
                <w:b/>
                <w:color w:val="FFFFFF"/>
                <w:sz w:val="19"/>
              </w:rPr>
              <w:t>Regular (9-16 pts.)</w:t>
            </w:r>
          </w:p>
        </w:tc>
        <w:tc>
          <w:tcPr>
            <w:tcW w:type="dxa" w:w="2376"/>
            <w:shd w:val="clear" w:color="auto" w:fill="1F3B57"/>
          </w:tcPr>
          <w:p>
            <w:r/>
            <w:r>
              <w:rPr>
                <w:b/>
                <w:color w:val="FFFFFF"/>
                <w:sz w:val="19"/>
              </w:rPr>
              <w:t>Insuficiente (0-8 pts.)</w:t>
            </w:r>
          </w:p>
        </w:tc>
      </w:tr>
      <w:tr>
        <w:tc>
          <w:tcPr>
            <w:tcW w:type="dxa" w:w="1944"/>
          </w:tcPr>
          <w:p>
            <w:r/>
            <w:r>
              <w:rPr>
                <w:b/>
                <w:sz w:val="18"/>
              </w:rPr>
              <w:t>Explicación de la arquitectura y las decisiones de diseño</w:t>
            </w:r>
          </w:p>
        </w:tc>
        <w:tc>
          <w:tcPr>
            <w:tcW w:type="dxa" w:w="2520"/>
          </w:tcPr>
          <w:p>
            <w:r/>
            <w:r>
              <w:rPr>
                <w:b w:val="0"/>
                <w:sz w:val="18"/>
              </w:rPr>
              <w:t>Explica con claridad cómo está organizado el sistema (Arquitectura Hexagonal, DDD, separación de capas) y justifica por qué se tomó cada decisión clave, sin depender de notas ni del código para recordarlo.</w:t>
            </w:r>
          </w:p>
        </w:tc>
        <w:tc>
          <w:tcPr>
            <w:tcW w:type="dxa" w:w="2520"/>
          </w:tcPr>
          <w:p>
            <w:r/>
            <w:r>
              <w:rPr>
                <w:b w:val="0"/>
                <w:sz w:val="18"/>
              </w:rPr>
              <w:t>Explica la organización general del sistema, pero con imprecisiones en algunos conceptos de arquitectura o dificultad para justificar decisiones puntuales sin apoyarse en el código.</w:t>
            </w:r>
          </w:p>
        </w:tc>
        <w:tc>
          <w:tcPr>
            <w:tcW w:type="dxa" w:w="2376"/>
          </w:tcPr>
          <w:p>
            <w:r/>
            <w:r>
              <w:rPr>
                <w:b w:val="0"/>
                <w:sz w:val="18"/>
              </w:rPr>
              <w:t>No logra explicar cómo está organizado el sistema, confunde conceptos básicos de arquitectura o atribuye las decisiones de diseño a la IA sin poder justificarlas por cuenta propia.</w:t>
            </w:r>
          </w:p>
        </w:tc>
      </w:tr>
      <w:tr>
        <w:tc>
          <w:tcPr>
            <w:tcW w:type="dxa" w:w="1944"/>
            <w:shd w:val="clear" w:color="auto" w:fill="F2F5F8"/>
          </w:tcPr>
          <w:p>
            <w:r/>
            <w:r>
              <w:rPr>
                <w:b/>
                <w:sz w:val="18"/>
              </w:rPr>
              <w:t>Justificación de las reglas de negocio implementadas</w:t>
            </w:r>
          </w:p>
        </w:tc>
        <w:tc>
          <w:tcPr>
            <w:tcW w:type="dxa" w:w="2520"/>
            <w:shd w:val="clear" w:color="auto" w:fill="F2F5F8"/>
          </w:tcPr>
          <w:p>
            <w:r/>
            <w:r>
              <w:rPr>
                <w:b w:val="0"/>
                <w:sz w:val="18"/>
              </w:rPr>
              <w:t>Explica por qué el sistema se comporta como se comporta ante cada requerimiento y regla de negocio del módulo, no solo que "funciona", incluyendo los casos límite señalados en los criterios de aceptación.</w:t>
            </w:r>
          </w:p>
        </w:tc>
        <w:tc>
          <w:tcPr>
            <w:tcW w:type="dxa" w:w="2520"/>
            <w:shd w:val="clear" w:color="auto" w:fill="F2F5F8"/>
          </w:tcPr>
          <w:p>
            <w:r/>
            <w:r>
              <w:rPr>
                <w:b w:val="0"/>
                <w:sz w:val="18"/>
              </w:rPr>
              <w:t>Explica el comportamiento general de las reglas de negocio principales, pero tiene dificultad con los casos límite o con requerimientos secundarios del módulo.</w:t>
            </w:r>
          </w:p>
        </w:tc>
        <w:tc>
          <w:tcPr>
            <w:tcW w:type="dxa" w:w="2376"/>
            <w:shd w:val="clear" w:color="auto" w:fill="F2F5F8"/>
          </w:tcPr>
          <w:p>
            <w:r/>
            <w:r>
              <w:rPr>
                <w:b w:val="0"/>
                <w:sz w:val="18"/>
              </w:rPr>
              <w:t>No puede explicar por qué el sistema se comporta de una manera determinada ante una regla de negocio, o su explicación contradice el comportamiento real observado en el sistema.</w:t>
            </w:r>
          </w:p>
        </w:tc>
      </w:tr>
      <w:tr>
        <w:tc>
          <w:tcPr>
            <w:tcW w:type="dxa" w:w="1944"/>
          </w:tcPr>
          <w:p>
            <w:r/>
            <w:r>
              <w:rPr>
                <w:b/>
                <w:sz w:val="18"/>
              </w:rPr>
              <w:t>Resolución de la modificación en vivo</w:t>
            </w:r>
          </w:p>
        </w:tc>
        <w:tc>
          <w:tcPr>
            <w:tcW w:type="dxa" w:w="2520"/>
          </w:tcPr>
          <w:p>
            <w:r/>
            <w:r>
              <w:rPr>
                <w:b w:val="0"/>
                <w:sz w:val="18"/>
              </w:rPr>
              <w:t>Implementa correctamente, durante la defensa, el cambio solicitado por el docente (nuevo campo, nueva validación, nuevo código de error) sin romper funcionalidad existente.</w:t>
            </w:r>
          </w:p>
        </w:tc>
        <w:tc>
          <w:tcPr>
            <w:tcW w:type="dxa" w:w="2520"/>
          </w:tcPr>
          <w:p>
            <w:r/>
            <w:r>
              <w:rPr>
                <w:b w:val="0"/>
                <w:sz w:val="18"/>
              </w:rPr>
              <w:t>Implementa el cambio solicitado con ayuda adicional del docente o con errores menores que corrige sobre la marcha.</w:t>
            </w:r>
          </w:p>
        </w:tc>
        <w:tc>
          <w:tcPr>
            <w:tcW w:type="dxa" w:w="2376"/>
          </w:tcPr>
          <w:p>
            <w:r/>
            <w:r>
              <w:rPr>
                <w:b w:val="0"/>
                <w:sz w:val="18"/>
              </w:rPr>
              <w:t>No logra implementar el cambio solicitado, o al intentarlo rompe funcionalidad que antes operaba correctamente.</w:t>
            </w:r>
          </w:p>
        </w:tc>
      </w:tr>
      <w:tr>
        <w:tc>
          <w:tcPr>
            <w:tcW w:type="dxa" w:w="1944"/>
            <w:shd w:val="clear" w:color="auto" w:fill="F2F5F8"/>
          </w:tcPr>
          <w:p>
            <w:r/>
            <w:r>
              <w:rPr>
                <w:b/>
                <w:sz w:val="18"/>
              </w:rPr>
              <w:t>Anticipación del impacto del cambio</w:t>
            </w:r>
          </w:p>
        </w:tc>
        <w:tc>
          <w:tcPr>
            <w:tcW w:type="dxa" w:w="2520"/>
            <w:shd w:val="clear" w:color="auto" w:fill="F2F5F8"/>
          </w:tcPr>
          <w:p>
            <w:r/>
            <w:r>
              <w:rPr>
                <w:b w:val="0"/>
                <w:sz w:val="18"/>
              </w:rPr>
              <w:t>Antes de ejecutar la modificación solicitada, identifica correctamente qué otras partes del sistema se ven afectadas (validaciones, pruebas, otros módulos o componentes relacionados).</w:t>
            </w:r>
          </w:p>
        </w:tc>
        <w:tc>
          <w:tcPr>
            <w:tcW w:type="dxa" w:w="2520"/>
            <w:shd w:val="clear" w:color="auto" w:fill="F2F5F8"/>
          </w:tcPr>
          <w:p>
            <w:r/>
            <w:r>
              <w:rPr>
                <w:b w:val="0"/>
                <w:sz w:val="18"/>
              </w:rPr>
              <w:t>Identifica parcialmente el impacto del cambio, omitiendo alguna consecuencia relevante que se hace evidente solo al ejecutarlo.</w:t>
            </w:r>
          </w:p>
        </w:tc>
        <w:tc>
          <w:tcPr>
            <w:tcW w:type="dxa" w:w="2376"/>
            <w:shd w:val="clear" w:color="auto" w:fill="F2F5F8"/>
          </w:tcPr>
          <w:p>
            <w:r/>
            <w:r>
              <w:rPr>
                <w:b w:val="0"/>
                <w:sz w:val="18"/>
              </w:rPr>
              <w:t>No anticipa ningún impacto del cambio antes de ejecutarlo, o descubre las consecuencias solo porque el sistema falla en vivo.</w:t>
            </w:r>
          </w:p>
        </w:tc>
      </w:tr>
      <w:tr>
        <w:tc>
          <w:tcPr>
            <w:tcW w:type="dxa" w:w="1944"/>
          </w:tcPr>
          <w:p>
            <w:r/>
            <w:r>
              <w:rPr>
                <w:b/>
                <w:sz w:val="18"/>
              </w:rPr>
              <w:t>Dominio individual y distribuido del conocimiento</w:t>
            </w:r>
          </w:p>
        </w:tc>
        <w:tc>
          <w:tcPr>
            <w:tcW w:type="dxa" w:w="2520"/>
          </w:tcPr>
          <w:p>
            <w:r/>
            <w:r>
              <w:rPr>
                <w:b w:val="0"/>
                <w:sz w:val="18"/>
              </w:rPr>
              <w:t>Cualquier integrante del equipo, sin importar a quién se le pregunte, explica con propiedad el funcionamiento general del sistema y su propia contribución específica.</w:t>
            </w:r>
          </w:p>
        </w:tc>
        <w:tc>
          <w:tcPr>
            <w:tcW w:type="dxa" w:w="2520"/>
          </w:tcPr>
          <w:p>
            <w:r/>
            <w:r>
              <w:rPr>
                <w:b w:val="0"/>
                <w:sz w:val="18"/>
              </w:rPr>
              <w:t>Al menos un integrante del equipo domina el sistema en su conjunto, pero el resto solo domina la parte que le correspondió construir.</w:t>
            </w:r>
          </w:p>
        </w:tc>
        <w:tc>
          <w:tcPr>
            <w:tcW w:type="dxa" w:w="2376"/>
          </w:tcPr>
          <w:p>
            <w:r/>
            <w:r>
              <w:rPr>
                <w:b w:val="0"/>
                <w:sz w:val="18"/>
              </w:rPr>
              <w:t>Ningún integrante puede explicar el sistema más allá de su propia parte, o el equipo no puede identificar quién construyó qué.</w:t>
            </w:r>
          </w:p>
        </w:tc>
      </w:tr>
    </w:tbl>
    <w:p/>
    <w:p>
      <w:r>
        <w:rPr>
          <w:i/>
          <w:color w:val="404040"/>
          <w:sz w:val="19"/>
        </w:rPr>
        <w:t>Puntaje total: 100 puntos, equivalentes al 15% de la nota final del proyecto.</w:t>
      </w:r>
    </w:p>
    <w:p>
      <w:pPr>
        <w:pStyle w:val="Heading2"/>
      </w:pPr>
      <w:r>
        <w:t>4.3 Rúbrica del Diario de Decisiones Técnicas e IA</w:t>
      </w:r>
    </w:p>
    <w:p>
      <w:r>
        <w:rPr>
          <w:i/>
        </w:rPr>
        <w:t>Evalúa la calidad del diario descrito en la condición d de la Sección 3: no la cantidad de texto, sino la evidencia concreta de criterio técnico sobre el uso de la IA a lo largo del proyecto.</w:t>
      </w:r>
    </w:p>
    <w:tbl>
      <w:tblPr>
        <w:tblW w:type="auto" w:w="0"/>
        <w:jc w:val="left"/>
        <w:tblLayout w:type="fixed"/>
        <w:tblLook w:firstColumn="1" w:firstRow="1" w:lastColumn="0" w:lastRow="0" w:noHBand="0" w:noVBand="1" w:val="04A0"/>
      </w:tblPr>
      <w:tblGrid>
        <w:gridCol w:w="2340"/>
        <w:gridCol w:w="2340"/>
        <w:gridCol w:w="2340"/>
        <w:gridCol w:w="2340"/>
      </w:tblGrid>
      <w:tr>
        <w:tc>
          <w:tcPr>
            <w:tcW w:type="dxa" w:w="1944"/>
            <w:shd w:val="clear" w:color="auto" w:fill="1F3B57"/>
          </w:tcPr>
          <w:p>
            <w:r/>
            <w:r>
              <w:rPr>
                <w:b/>
                <w:color w:val="FFFFFF"/>
                <w:sz w:val="19"/>
              </w:rPr>
              <w:t>Rubro (20 pts. c/u)</w:t>
            </w:r>
          </w:p>
        </w:tc>
        <w:tc>
          <w:tcPr>
            <w:tcW w:type="dxa" w:w="2520"/>
            <w:shd w:val="clear" w:color="auto" w:fill="1F3B57"/>
          </w:tcPr>
          <w:p>
            <w:r/>
            <w:r>
              <w:rPr>
                <w:b/>
                <w:color w:val="FFFFFF"/>
                <w:sz w:val="19"/>
              </w:rPr>
              <w:t>Excelente (17-20 pts.)</w:t>
            </w:r>
          </w:p>
        </w:tc>
        <w:tc>
          <w:tcPr>
            <w:tcW w:type="dxa" w:w="2520"/>
            <w:shd w:val="clear" w:color="auto" w:fill="1F3B57"/>
          </w:tcPr>
          <w:p>
            <w:r/>
            <w:r>
              <w:rPr>
                <w:b/>
                <w:color w:val="FFFFFF"/>
                <w:sz w:val="19"/>
              </w:rPr>
              <w:t>Regular (9-16 pts.)</w:t>
            </w:r>
          </w:p>
        </w:tc>
        <w:tc>
          <w:tcPr>
            <w:tcW w:type="dxa" w:w="2376"/>
            <w:shd w:val="clear" w:color="auto" w:fill="1F3B57"/>
          </w:tcPr>
          <w:p>
            <w:r/>
            <w:r>
              <w:rPr>
                <w:b/>
                <w:color w:val="FFFFFF"/>
                <w:sz w:val="19"/>
              </w:rPr>
              <w:t>Insuficiente (0-8 pts.)</w:t>
            </w:r>
          </w:p>
        </w:tc>
      </w:tr>
      <w:tr>
        <w:tc>
          <w:tcPr>
            <w:tcW w:type="dxa" w:w="1944"/>
          </w:tcPr>
          <w:p>
            <w:r/>
            <w:r>
              <w:rPr>
                <w:b/>
                <w:sz w:val="18"/>
              </w:rPr>
              <w:t>Registro de consultas realizadas a la IA</w:t>
            </w:r>
          </w:p>
        </w:tc>
        <w:tc>
          <w:tcPr>
            <w:tcW w:type="dxa" w:w="2520"/>
          </w:tcPr>
          <w:p>
            <w:r/>
            <w:r>
              <w:rPr>
                <w:b w:val="0"/>
                <w:sz w:val="18"/>
              </w:rPr>
              <w:t>El diario detalla qué se le consultó a la IA en los momentos clave del desarrollo, con suficiente contexto (qué problema se buscaba resolver, qué se le preguntó exactamente) para entender la situación sin ver el código.</w:t>
            </w:r>
          </w:p>
        </w:tc>
        <w:tc>
          <w:tcPr>
            <w:tcW w:type="dxa" w:w="2520"/>
          </w:tcPr>
          <w:p>
            <w:r/>
            <w:r>
              <w:rPr>
                <w:b w:val="0"/>
                <w:sz w:val="18"/>
              </w:rPr>
              <w:t>El diario registra consultas a la IA, pero de forma genérica o sin suficiente contexto para entender qué problema se buscaba resolver.</w:t>
            </w:r>
          </w:p>
        </w:tc>
        <w:tc>
          <w:tcPr>
            <w:tcW w:type="dxa" w:w="2376"/>
          </w:tcPr>
          <w:p>
            <w:r/>
            <w:r>
              <w:rPr>
                <w:b w:val="0"/>
                <w:sz w:val="18"/>
              </w:rPr>
              <w:t>El diario no registra consultas concretas a la IA, o las menciona sin ningún detalle verificable.</w:t>
            </w:r>
          </w:p>
        </w:tc>
      </w:tr>
      <w:tr>
        <w:tc>
          <w:tcPr>
            <w:tcW w:type="dxa" w:w="1944"/>
            <w:shd w:val="clear" w:color="auto" w:fill="F2F5F8"/>
          </w:tcPr>
          <w:p>
            <w:r/>
            <w:r>
              <w:rPr>
                <w:b/>
                <w:sz w:val="18"/>
              </w:rPr>
              <w:t>Criterio de aceptación o rechazo</w:t>
            </w:r>
          </w:p>
        </w:tc>
        <w:tc>
          <w:tcPr>
            <w:tcW w:type="dxa" w:w="2520"/>
            <w:shd w:val="clear" w:color="auto" w:fill="F2F5F8"/>
          </w:tcPr>
          <w:p>
            <w:r/>
            <w:r>
              <w:rPr>
                <w:b w:val="0"/>
                <w:sz w:val="18"/>
              </w:rPr>
              <w:t>Para cada consulta relevante, el diario explica con argumentos técnicos concretos qué se aceptó de la respuesta de la IA, qué se rechazó y por qué.</w:t>
            </w:r>
          </w:p>
        </w:tc>
        <w:tc>
          <w:tcPr>
            <w:tcW w:type="dxa" w:w="2520"/>
            <w:shd w:val="clear" w:color="auto" w:fill="F2F5F8"/>
          </w:tcPr>
          <w:p>
            <w:r/>
            <w:r>
              <w:rPr>
                <w:b w:val="0"/>
                <w:sz w:val="18"/>
              </w:rPr>
              <w:t>El diario indica qué se aceptó o rechazó, pero con argumentos vagos o repetitivos ("se aceptó porque funcionaba", "se rechazó porque no me gustó") en varios casos.</w:t>
            </w:r>
          </w:p>
        </w:tc>
        <w:tc>
          <w:tcPr>
            <w:tcW w:type="dxa" w:w="2376"/>
            <w:shd w:val="clear" w:color="auto" w:fill="F2F5F8"/>
          </w:tcPr>
          <w:p>
            <w:r/>
            <w:r>
              <w:rPr>
                <w:b w:val="0"/>
                <w:sz w:val="18"/>
              </w:rPr>
              <w:t>El diario no distingue entre lo aceptado y lo rechazado, o no ofrece ningún argumento técnico para esas decisiones.</w:t>
            </w:r>
          </w:p>
        </w:tc>
      </w:tr>
      <w:tr>
        <w:tc>
          <w:tcPr>
            <w:tcW w:type="dxa" w:w="1944"/>
          </w:tcPr>
          <w:p>
            <w:r/>
            <w:r>
              <w:rPr>
                <w:b/>
                <w:sz w:val="18"/>
              </w:rPr>
              <w:t>Identificación de errores de la IA</w:t>
            </w:r>
          </w:p>
        </w:tc>
        <w:tc>
          <w:tcPr>
            <w:tcW w:type="dxa" w:w="2520"/>
          </w:tcPr>
          <w:p>
            <w:r/>
            <w:r>
              <w:rPr>
                <w:b w:val="0"/>
                <w:sz w:val="18"/>
              </w:rPr>
              <w:t>El diario documenta al menos un caso real y verificable donde la respuesta de la IA fue incorrecta, incompleta o inadecuada para el dominio del proyecto, y explica cómo se detectó y se corrigió.</w:t>
            </w:r>
          </w:p>
        </w:tc>
        <w:tc>
          <w:tcPr>
            <w:tcW w:type="dxa" w:w="2520"/>
          </w:tcPr>
          <w:p>
            <w:r/>
            <w:r>
              <w:rPr>
                <w:b w:val="0"/>
                <w:sz w:val="18"/>
              </w:rPr>
              <w:t>El diario menciona que la IA se equivocó en algún momento, pero sin detalle suficiente para verificar el error o la corrección aplicada.</w:t>
            </w:r>
          </w:p>
        </w:tc>
        <w:tc>
          <w:tcPr>
            <w:tcW w:type="dxa" w:w="2376"/>
          </w:tcPr>
          <w:p>
            <w:r/>
            <w:r>
              <w:rPr>
                <w:b w:val="0"/>
                <w:sz w:val="18"/>
              </w:rPr>
              <w:t>El diario no documenta ningún error de la IA, o afirma que la IA no se equivocó en ningún momento del proyecto.</w:t>
            </w:r>
          </w:p>
        </w:tc>
      </w:tr>
      <w:tr>
        <w:tc>
          <w:tcPr>
            <w:tcW w:type="dxa" w:w="1944"/>
            <w:shd w:val="clear" w:color="auto" w:fill="F2F5F8"/>
          </w:tcPr>
          <w:p>
            <w:r/>
            <w:r>
              <w:rPr>
                <w:b/>
                <w:sz w:val="18"/>
              </w:rPr>
              <w:t>Reflexión sobre el aprendizaje</w:t>
            </w:r>
          </w:p>
        </w:tc>
        <w:tc>
          <w:tcPr>
            <w:tcW w:type="dxa" w:w="2520"/>
            <w:shd w:val="clear" w:color="auto" w:fill="F2F5F8"/>
          </w:tcPr>
          <w:p>
            <w:r/>
            <w:r>
              <w:rPr>
                <w:b w:val="0"/>
                <w:sz w:val="18"/>
              </w:rPr>
              <w:t>El diario explica con especificidad qué aprendió cada estudiante del proceso (un concepto técnico, un error de diseño propio, una limitación de la IA), más allá de frases genéricas sobre el uso de la herramienta.</w:t>
            </w:r>
          </w:p>
        </w:tc>
        <w:tc>
          <w:tcPr>
            <w:tcW w:type="dxa" w:w="2520"/>
            <w:shd w:val="clear" w:color="auto" w:fill="F2F5F8"/>
          </w:tcPr>
          <w:p>
            <w:r/>
            <w:r>
              <w:rPr>
                <w:b w:val="0"/>
                <w:sz w:val="18"/>
              </w:rPr>
              <w:t>El diario incluye alguna reflexión sobre el aprendizaje, pero en su mayoría con frases genéricas poco específicas al proyecto.</w:t>
            </w:r>
          </w:p>
        </w:tc>
        <w:tc>
          <w:tcPr>
            <w:tcW w:type="dxa" w:w="2376"/>
            <w:shd w:val="clear" w:color="auto" w:fill="F2F5F8"/>
          </w:tcPr>
          <w:p>
            <w:r/>
            <w:r>
              <w:rPr>
                <w:b w:val="0"/>
                <w:sz w:val="18"/>
              </w:rPr>
              <w:t>El diario no incluye ninguna reflexión sobre el aprendizaje, o se limita a describir el uso de la IA sin ninguna conclusión propia.</w:t>
            </w:r>
          </w:p>
        </w:tc>
      </w:tr>
      <w:tr>
        <w:tc>
          <w:tcPr>
            <w:tcW w:type="dxa" w:w="1944"/>
          </w:tcPr>
          <w:p>
            <w:r/>
            <w:r>
              <w:rPr>
                <w:b/>
                <w:sz w:val="18"/>
              </w:rPr>
              <w:t>Consistencia con el proyecto entregado</w:t>
            </w:r>
          </w:p>
        </w:tc>
        <w:tc>
          <w:tcPr>
            <w:tcW w:type="dxa" w:w="2520"/>
          </w:tcPr>
          <w:p>
            <w:r/>
            <w:r>
              <w:rPr>
                <w:b w:val="0"/>
                <w:sz w:val="18"/>
              </w:rPr>
              <w:t>Lo registrado en el diario es verificable contra el código y las decisiones reales del proyecto: las fechas, los componentes y las decisiones descritas corresponden con lo que efectivamente se construyó.</w:t>
            </w:r>
          </w:p>
        </w:tc>
        <w:tc>
          <w:tcPr>
            <w:tcW w:type="dxa" w:w="2520"/>
          </w:tcPr>
          <w:p>
            <w:r/>
            <w:r>
              <w:rPr>
                <w:b w:val="0"/>
                <w:sz w:val="18"/>
              </w:rPr>
              <w:t>El diario corresponde en general con el proyecto, con algunas secciones difíciles de verificar contra el código real.</w:t>
            </w:r>
          </w:p>
        </w:tc>
        <w:tc>
          <w:tcPr>
            <w:tcW w:type="dxa" w:w="2376"/>
          </w:tcPr>
          <w:p>
            <w:r/>
            <w:r>
              <w:rPr>
                <w:b w:val="0"/>
                <w:sz w:val="18"/>
              </w:rPr>
              <w:t>El diario contradice el proyecto entregado, o es un documento genérico que no se puede verificar contra ninguna decisión real.</w:t>
            </w:r>
          </w:p>
        </w:tc>
      </w:tr>
    </w:tbl>
    <w:p/>
    <w:p>
      <w:r>
        <w:rPr>
          <w:i/>
          <w:color w:val="404040"/>
          <w:sz w:val="19"/>
        </w:rPr>
        <w:t>Puntaje total: 100 puntos, equivalentes al 10% de la nota final del proyecto.</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04040"/>
        <w:sz w:val="16"/>
      </w:rPr>
      <w:t>ISW-521 · Programación en Ambiente Web I · UTN Sede San Carlos · Proyecto 5 Reportes Tablero Riesgos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5A8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