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26.12.2022 13:38 30.12.2022 07:17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illness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Admitted acutely for signs of acute appendicitis.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Acute appendicitis, other and unspecified K35.8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Hypokalemia E87.6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Other specified postoperative conditions Z98.8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Inflammation of esophagus (oesophagitis) K20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Ventilation timeZ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0.0h (plus operation 0.7h 43 min) for the period 26.12.2022 13:38 - 30.12.2022 07:17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 and interventions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CHIR operation 26.12.2022 MUDr. (blurred)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Operational Performance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course of hospitalization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Patient admitted more acutely for pain in dx lower abdomen. For clinicians and paraclinicians with signs of acute appendicitis, surgery is indicated. 26.12. APPE, no complications. After the procedure on a standard bed, where the course was calm, hypokalemia was covered. T. no. is without difficulties, mild pain, Kp comp, afebrile, verticalized, wound calm, stitch fixed, ppi healed, realimented, passage +. Dismissed in good standing.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of treatment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Rapoxol, Dipidolor, Novalgin, Paracetamol, Ondansetron, Fraxiparine, Unasyn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therapy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Rapoxol 20mg tbl 1-0-0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Novalgin 500mg tbl 1-1-1 for pain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shower the wound with water, tape it clean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sparing diet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check-up at the chir clinic 4th floor - 3/1/2023 Dr (blurred) - 9:00-10:00, in case of difficulties our check-up will be earlier.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Taught in the English language.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Before discharge, the patient was instructed about the use of drugs and their interactions, about diet and regimen measures, including appropriate physical activity and the dates of planned check-ups. In case of acute problems, check in the NNH surgery clinic, telephone (blurred) or (blurred).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Ubuntu" w:cs="Ubuntu" w:eastAsia="Ubuntu" w:hAnsi="Ubuntu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Ubuntu" w:cs="Ubuntu" w:eastAsia="Ubuntu" w:hAnsi="Ubuntu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Ubuntu" w:cs="Ubuntu" w:eastAsia="Ubuntu" w:hAnsi="Ubuntu"/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