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72"/>
          <w:szCs w:val="72"/>
        </w:rPr>
        <w:t xml:space="preserve">CUSHION</w:t>
      </w:r>
    </w:p>
    <w:p>
      <w:pPr>
        <w:spacing w:after="400"/>
        <w:jc w:val="center"/>
      </w:pPr>
      <w:r>
        <w:rPr>
          <w:rFonts w:ascii="Arial" w:cs="Arial" w:eastAsia="Arial" w:hAnsi="Arial"/>
          <w:color w:val="2E75B6"/>
          <w:sz w:val="26"/>
          <w:szCs w:val="26"/>
        </w:rPr>
        <w:t xml:space="preserve">AI-Powered SNAP Payment Accuracy &amp; Intake Preparation Platform</w:t>
      </w:r>
    </w:p>
    <w:p>
      <w:pPr>
        <w:pBdr>
          <w:bottom w:val="single" w:color="2E75B6" w:sz="4" w:space="1"/>
        </w:pBdr>
        <w:spacing w:before="200" w:after="200"/>
      </w:pPr>
    </w:p>
    <w:p>
      <w:pPr>
        <w:spacing w:after="100"/>
        <w:jc w:val="center"/>
      </w:pPr>
      <w:r>
        <w:rPr>
          <w:rFonts w:ascii="Arial" w:cs="Arial" w:eastAsia="Arial" w:hAnsi="Arial"/>
          <w:color w:val="666666"/>
          <w:sz w:val="22"/>
          <w:szCs w:val="22"/>
        </w:rPr>
        <w:t xml:space="preserve">Addressing Georgia’s 15.65% SNAP Payment Error Rate</w:t>
      </w:r>
    </w:p>
    <w:p>
      <w:pPr>
        <w:spacing w:after="100"/>
        <w:jc w:val="center"/>
      </w:pPr>
      <w:r>
        <w:rPr>
          <w:rFonts w:ascii="Arial" w:cs="Arial" w:eastAsia="Arial" w:hAnsi="Arial"/>
          <w:color w:val="666666"/>
          <w:sz w:val="22"/>
          <w:szCs w:val="22"/>
        </w:rPr>
        <w:t xml:space="preserve">Reducing $162–$487 Million in Annual OBBBA Penalty Exposure</w:t>
      </w:r>
    </w:p>
    <w:p>
      <w:pPr>
        <w:spacing w:after="600"/>
        <w:jc w:val="center"/>
      </w:pPr>
      <w:r>
        <w:rPr>
          <w:rFonts w:ascii="Arial" w:cs="Arial" w:eastAsia="Arial" w:hAnsi="Arial"/>
          <w:color w:val="666666"/>
          <w:sz w:val="20"/>
          <w:szCs w:val="20"/>
        </w:rPr>
        <w:t xml:space="preserve">Prepared by Cushion Benefits, LLC  |  March 2026</w:t>
      </w:r>
    </w:p>
    <w:p>
      <w:pPr>
        <w:jc w:val="center"/>
      </w:pPr>
      <w:r>
        <w:rPr>
          <w:rFonts w:ascii="Arial" w:cs="Arial" w:eastAsia="Arial" w:hAnsi="Arial"/>
          <w:b/>
          <w:bCs/>
          <w:color w:val="2E75B6"/>
          <w:sz w:val="18"/>
          <w:szCs w:val="18"/>
        </w:rPr>
        <w:t xml:space="preserve">CONFIDENTIAL</w:t>
      </w:r>
    </w:p>
    <w:p>
      <w:pPr>
        <w:sectPr>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B3A5C"/>
          <w:sz w:val="32"/>
          <w:szCs w:val="32"/>
        </w:rPr>
        <w:t xml:space="preserve">1. Executive Summary</w:t>
      </w:r>
    </w:p>
    <w:p>
      <w:pPr>
        <w:spacing w:after="160" w:line="276"/>
      </w:pPr>
      <w:r>
        <w:rPr>
          <w:rFonts w:ascii="Arial" w:cs="Arial" w:eastAsia="Arial" w:hAnsi="Arial"/>
          <w:color w:val="222222"/>
          <w:sz w:val="21"/>
          <w:szCs w:val="21"/>
        </w:rPr>
        <w:t xml:space="preserve">Georgia’s Supplemental Nutrition Assistance Program (SNAP) serves 1.77 million residents across 705,000 households, distributing approximately $3.25 billion in annual benefits. The state’s SNAP payment error rate of 15.65%—the third worst in the nation—exposes Georgia to $162–$487 million in annual cost-sharing penalties under the One Big Beautiful Bill Act (OBBBA), beginning in federal fiscal year 2028.</w:t>
      </w:r>
    </w:p>
    <w:p>
      <w:pPr>
        <w:spacing w:after="160" w:line="276"/>
      </w:pPr>
      <w:r>
        <w:rPr>
          <w:rFonts w:ascii="Arial" w:cs="Arial" w:eastAsia="Arial" w:hAnsi="Arial"/>
          <w:color w:val="222222"/>
          <w:sz w:val="21"/>
          <w:szCs w:val="21"/>
        </w:rPr>
        <w:t xml:space="preserve">The root cause is not the eligibility determination system. Georgia Gateway, built and maintained by Deloitte at a cost exceeding $380 million, handles the back-end processing. The problem is the quality of information entering Gateway. Incorrect income calculations, inaccurate household composition, and miscalculated deductions at the intake stage produce overpayments that account for 13.6 percentage points of the 15.65% total error rate—87% of the problem.</w:t>
      </w:r>
    </w:p>
    <w:p>
      <w:pPr>
        <w:spacing w:after="160" w:line="276"/>
      </w:pPr>
      <w:r>
        <w:rPr>
          <w:rFonts w:ascii="Arial" w:cs="Arial" w:eastAsia="Arial" w:hAnsi="Arial"/>
          <w:color w:val="222222"/>
          <w:sz w:val="21"/>
          <w:szCs w:val="21"/>
        </w:rPr>
        <w:t xml:space="preserve">Cushion is an AI-powered intake preparation and payment accuracy tool that sits in front of Georgia Gateway. It ensures that the data entering the eligibility system is accurate, consistent, and complete—directly attacking the root causes of overpayment errors before benefits are issued. Cushion does not replace Gateway, does not replace the caseworker, and does not make eligibility determinations. It makes the existing system work better by fixing the input layer.</w:t>
      </w:r>
    </w:p>
    <w:p>
      <w:pPr>
        <w:spacing w:after="160" w:line="276"/>
      </w:pPr>
      <w:r>
        <w:rPr>
          <w:rFonts w:ascii="Arial" w:cs="Arial" w:eastAsia="Arial" w:hAnsi="Arial"/>
          <w:color w:val="222222"/>
          <w:sz w:val="21"/>
          <w:szCs w:val="21"/>
        </w:rPr>
        <w:t xml:space="preserve">Governor Kemp’s FY2027 budget includes $12 million specifically for “new strategies to identify and correct problems before they become payment errors.” House Bill 947, the Georgia SNAP Integrity Act of 2026, mandates pre-authorization accuracy checklists and stricter verification timelines. Cushion is built to satisfy both.</w:t>
      </w:r>
    </w:p>
    <w:p>
      <w:pPr>
        <w:pBdr>
          <w:bottom w:val="single" w:color="2E75B6" w:sz="4" w:space="1"/>
        </w:pBdr>
        <w:spacing w:before="200" w:after="200"/>
      </w:pPr>
    </w:p>
    <w:p>
      <w:pPr>
        <w:pStyle w:val="Heading1"/>
        <w:spacing w:before="400" w:after="200"/>
      </w:pPr>
      <w:r>
        <w:rPr>
          <w:rFonts w:ascii="Arial" w:cs="Arial" w:eastAsia="Arial" w:hAnsi="Arial"/>
          <w:b/>
          <w:bCs/>
          <w:color w:val="1B3A5C"/>
          <w:sz w:val="32"/>
          <w:szCs w:val="32"/>
        </w:rPr>
        <w:t xml:space="preserve">2. The Problem</w:t>
      </w:r>
    </w:p>
    <w:p>
      <w:pPr>
        <w:pStyle w:val="Heading2"/>
        <w:spacing w:before="300" w:after="150"/>
      </w:pPr>
      <w:r>
        <w:rPr>
          <w:rFonts w:ascii="Arial" w:cs="Arial" w:eastAsia="Arial" w:hAnsi="Arial"/>
          <w:b/>
          <w:bCs/>
          <w:color w:val="2E75B6"/>
          <w:sz w:val="26"/>
          <w:szCs w:val="26"/>
        </w:rPr>
        <w:t xml:space="preserve">2.1 Georgia’s Error Rate Crisis</w:t>
      </w:r>
    </w:p>
    <w:p>
      <w:pPr>
        <w:spacing w:after="160" w:line="276"/>
      </w:pPr>
      <w:r>
        <w:rPr>
          <w:rFonts w:ascii="Arial" w:cs="Arial" w:eastAsia="Arial" w:hAnsi="Arial"/>
          <w:color w:val="222222"/>
          <w:sz w:val="21"/>
          <w:szCs w:val="21"/>
        </w:rPr>
        <w:t xml:space="preserve">Georgia’s SNAP payment error rate of 15.65% in FY2024 is composed of a 13.6% overpayment rate and approximately 2% underpayment rate. Only Alaska (24.66%) and Washington D.C. (17.38%) perform worse. The national average is 10.93%.</w:t>
      </w:r>
    </w:p>
    <w:p>
      <w:pPr>
        <w:spacing w:after="160" w:line="276"/>
      </w:pPr>
      <w:r>
        <w:rPr>
          <w:rFonts w:ascii="Arial" w:cs="Arial" w:eastAsia="Arial" w:hAnsi="Arial"/>
          <w:color w:val="222222"/>
          <w:sz w:val="21"/>
          <w:szCs w:val="21"/>
        </w:rPr>
        <w:t xml:space="preserve">Under the OBBBA’s tiered cost-sharing framework, states with error rates above 10% must pay 15% of their total SNAP benefit allotments. For Georgia, this translates to approximately $487 million annually based on FY2024 benefit levels. Even if Georgia reduces its error rate to 6–8%, it would still face a 5% cost share of approximately $162 million per year.</w:t>
      </w:r>
    </w:p>
    <w:p>
      <w:pPr>
        <w:pStyle w:val="Heading2"/>
        <w:spacing w:before="300" w:after="150"/>
      </w:pPr>
      <w:r>
        <w:rPr>
          <w:rFonts w:ascii="Arial" w:cs="Arial" w:eastAsia="Arial" w:hAnsi="Arial"/>
          <w:b/>
          <w:bCs/>
          <w:color w:val="2E75B6"/>
          <w:sz w:val="26"/>
          <w:szCs w:val="26"/>
        </w:rPr>
        <w:t xml:space="preserve">2.2 Root Causes of Overpayment Errors</w:t>
      </w:r>
    </w:p>
    <w:p>
      <w:pPr>
        <w:spacing w:after="160" w:line="276"/>
      </w:pPr>
      <w:r>
        <w:rPr>
          <w:rFonts w:ascii="Arial" w:cs="Arial" w:eastAsia="Arial" w:hAnsi="Arial"/>
          <w:color w:val="222222"/>
          <w:sz w:val="21"/>
          <w:szCs w:val="21"/>
        </w:rPr>
        <w:t xml:space="preserve">Overpayments—representing 87% of the total error rate—occur when the benefit calculation uses inputs that are too favorable to the applicant. The five primary root causes are:</w:t>
      </w:r>
    </w:p>
    <w:p>
      <w:pPr>
        <w:pStyle w:val="ListParagraph"/>
        <w:numPr>
          <w:ilvl w:val="0"/>
          <w:numId w:val="2"/>
        </w:numPr>
        <w:spacing w:after="80" w:line="276"/>
      </w:pPr>
      <w:r>
        <w:rPr>
          <w:rFonts w:ascii="Arial" w:cs="Arial" w:eastAsia="Arial" w:hAnsi="Arial"/>
          <w:b/>
          <w:bCs/>
          <w:color w:val="222222"/>
          <w:sz w:val="21"/>
          <w:szCs w:val="21"/>
        </w:rPr>
        <w:t xml:space="preserve">Incorrect income calculation: </w:t>
      </w:r>
      <w:r>
        <w:rPr>
          <w:rFonts w:ascii="Arial" w:cs="Arial" w:eastAsia="Arial" w:hAnsi="Arial"/>
          <w:color w:val="222222"/>
          <w:sz w:val="21"/>
          <w:szCs w:val="21"/>
        </w:rPr>
        <w:t xml:space="preserve">Applicants misreport income due to confusion over pay frequency conversions, failure to include all income sources, or misunderstanding of how self-employment income is counted. A biweekly paycheck of $1,200 reported as “$2,400/month” when the SNAP formula produces $2,600 creates an immediate overpayment.</w:t>
      </w:r>
    </w:p>
    <w:p>
      <w:pPr>
        <w:pStyle w:val="ListParagraph"/>
        <w:numPr>
          <w:ilvl w:val="0"/>
          <w:numId w:val="2"/>
        </w:numPr>
        <w:spacing w:after="80" w:line="276"/>
      </w:pPr>
      <w:r>
        <w:rPr>
          <w:rFonts w:ascii="Arial" w:cs="Arial" w:eastAsia="Arial" w:hAnsi="Arial"/>
          <w:b/>
          <w:bCs/>
          <w:color w:val="222222"/>
          <w:sz w:val="21"/>
          <w:szCs w:val="21"/>
        </w:rPr>
        <w:t xml:space="preserve">Household composition errors: </w:t>
      </w:r>
      <w:r>
        <w:rPr>
          <w:rFonts w:ascii="Arial" w:cs="Arial" w:eastAsia="Arial" w:hAnsi="Arial"/>
          <w:color w:val="222222"/>
          <w:sz w:val="21"/>
          <w:szCs w:val="21"/>
        </w:rPr>
        <w:t xml:space="preserve">Applicants include individuals who should not be in the SNAP household (roommates who buy food separately) or exclude members who should be counted, directly affecting income thresholds and benefit amounts.</w:t>
      </w:r>
    </w:p>
    <w:p>
      <w:pPr>
        <w:pStyle w:val="ListParagraph"/>
        <w:numPr>
          <w:ilvl w:val="0"/>
          <w:numId w:val="2"/>
        </w:numPr>
        <w:spacing w:after="80" w:line="276"/>
      </w:pPr>
      <w:r>
        <w:rPr>
          <w:rFonts w:ascii="Arial" w:cs="Arial" w:eastAsia="Arial" w:hAnsi="Arial"/>
          <w:b/>
          <w:bCs/>
          <w:color w:val="222222"/>
          <w:sz w:val="21"/>
          <w:szCs w:val="21"/>
        </w:rPr>
        <w:t xml:space="preserve">Deduction miscalculation: </w:t>
      </w:r>
      <w:r>
        <w:rPr>
          <w:rFonts w:ascii="Arial" w:cs="Arial" w:eastAsia="Arial" w:hAnsi="Arial"/>
          <w:color w:val="222222"/>
          <w:sz w:val="21"/>
          <w:szCs w:val="21"/>
        </w:rPr>
        <w:t xml:space="preserve">Overstated shelter costs, double-counted utilities, or inflated child care expenses increase deductions, lower countable income, and produce overpayments. The excess shelter deduction calculation—with its conditional cap for elderly/disabled members—is particularly error-prone.</w:t>
      </w:r>
    </w:p>
    <w:p>
      <w:pPr>
        <w:pStyle w:val="ListParagraph"/>
        <w:numPr>
          <w:ilvl w:val="0"/>
          <w:numId w:val="2"/>
        </w:numPr>
        <w:spacing w:after="80" w:line="276"/>
      </w:pPr>
      <w:r>
        <w:rPr>
          <w:rFonts w:ascii="Arial" w:cs="Arial" w:eastAsia="Arial" w:hAnsi="Arial"/>
          <w:b/>
          <w:bCs/>
          <w:color w:val="222222"/>
          <w:sz w:val="21"/>
          <w:szCs w:val="21"/>
        </w:rPr>
        <w:t xml:space="preserve">Procedural documentation gaps: </w:t>
      </w:r>
      <w:r>
        <w:rPr>
          <w:rFonts w:ascii="Arial" w:cs="Arial" w:eastAsia="Arial" w:hAnsi="Arial"/>
          <w:color w:val="222222"/>
          <w:sz w:val="21"/>
          <w:szCs w:val="21"/>
        </w:rPr>
        <w:t xml:space="preserve">Under 2022 QC policy changes, missing forms or signatures in the case file cause the entire benefit to be counted as an error, even if the household was correctly determined eligible.</w:t>
      </w:r>
    </w:p>
    <w:p>
      <w:pPr>
        <w:pStyle w:val="ListParagraph"/>
        <w:numPr>
          <w:ilvl w:val="0"/>
          <w:numId w:val="2"/>
        </w:numPr>
        <w:spacing w:after="80" w:line="276"/>
      </w:pPr>
      <w:r>
        <w:rPr>
          <w:rFonts w:ascii="Arial" w:cs="Arial" w:eastAsia="Arial" w:hAnsi="Arial"/>
          <w:b/>
          <w:bCs/>
          <w:color w:val="222222"/>
          <w:sz w:val="21"/>
          <w:szCs w:val="21"/>
        </w:rPr>
        <w:t xml:space="preserve">Recertification lag: </w:t>
      </w:r>
      <w:r>
        <w:rPr>
          <w:rFonts w:ascii="Arial" w:cs="Arial" w:eastAsia="Arial" w:hAnsi="Arial"/>
          <w:color w:val="222222"/>
          <w:sz w:val="21"/>
          <w:szCs w:val="21"/>
        </w:rPr>
        <w:t xml:space="preserve">Changed circumstances—new employment, household changes, increased income—are not captured at recertification, leaving benefit amounts based on outdated data.</w:t>
      </w:r>
    </w:p>
    <w:p>
      <w:pPr>
        <w:pStyle w:val="Heading2"/>
        <w:spacing w:before="300" w:after="150"/>
      </w:pPr>
      <w:r>
        <w:rPr>
          <w:rFonts w:ascii="Arial" w:cs="Arial" w:eastAsia="Arial" w:hAnsi="Arial"/>
          <w:b/>
          <w:bCs/>
          <w:color w:val="2E75B6"/>
          <w:sz w:val="26"/>
          <w:szCs w:val="26"/>
        </w:rPr>
        <w:t xml:space="preserve">2.3 The Staffing Crisis Compounds the Problem</w:t>
      </w:r>
    </w:p>
    <w:p>
      <w:pPr>
        <w:spacing w:after="160" w:line="276"/>
      </w:pPr>
      <w:r>
        <w:rPr>
          <w:rFonts w:ascii="Arial" w:cs="Arial" w:eastAsia="Arial" w:hAnsi="Arial"/>
          <w:color w:val="222222"/>
          <w:sz w:val="21"/>
          <w:szCs w:val="21"/>
        </w:rPr>
        <w:t xml:space="preserve">Georgia DFCS caseworkers face unsustainable workloads. In DeKalb County, 44% of caseworkers exceed their maximum caseload caps. Statewide, DFCS hired 73 workers in six months but lost 132. Caseworkers estimate receiving dozens of unreturned voicemails per day. Under these conditions, the intake interview—where data accuracy matters most—is rushed, incomplete, or skipped entirely. In Los Angeles County, where similar conditions exist, one third of all SNAP applications were denied due to missed interviews alone—five times the number denied for actual ineligibility.</w:t>
      </w:r>
    </w:p>
    <w:p>
      <w:pPr>
        <w:pStyle w:val="Heading2"/>
        <w:spacing w:before="300" w:after="150"/>
      </w:pPr>
      <w:r>
        <w:rPr>
          <w:rFonts w:ascii="Arial" w:cs="Arial" w:eastAsia="Arial" w:hAnsi="Arial"/>
          <w:b/>
          <w:bCs/>
          <w:color w:val="2E75B6"/>
          <w:sz w:val="26"/>
          <w:szCs w:val="26"/>
        </w:rPr>
        <w:t xml:space="preserve">2.4 The Legislative and Budget Response</w:t>
      </w:r>
    </w:p>
    <w:p>
      <w:pPr>
        <w:spacing w:after="160" w:line="276"/>
      </w:pPr>
      <w:r>
        <w:rPr>
          <w:rFonts w:ascii="Arial" w:cs="Arial" w:eastAsia="Arial" w:hAnsi="Arial"/>
          <w:color w:val="222222"/>
          <w:sz w:val="21"/>
          <w:szCs w:val="21"/>
        </w:rPr>
        <w:t xml:space="preserve">Georgia is actively mobilizing to address this crisis:</w:t>
      </w:r>
    </w:p>
    <w:p>
      <w:pPr>
        <w:pStyle w:val="ListParagraph"/>
        <w:numPr>
          <w:ilvl w:val="0"/>
          <w:numId w:val="2"/>
        </w:numPr>
        <w:spacing w:after="80" w:line="276"/>
      </w:pPr>
      <w:r>
        <w:rPr>
          <w:rFonts w:ascii="Arial" w:cs="Arial" w:eastAsia="Arial" w:hAnsi="Arial"/>
          <w:b/>
          <w:bCs/>
          <w:color w:val="222222"/>
          <w:sz w:val="21"/>
          <w:szCs w:val="21"/>
        </w:rPr>
        <w:t xml:space="preserve">Governor Kemp’s FY2027 budget: </w:t>
      </w:r>
      <w:r>
        <w:rPr>
          <w:rFonts w:ascii="Arial" w:cs="Arial" w:eastAsia="Arial" w:hAnsi="Arial"/>
          <w:color w:val="222222"/>
          <w:sz w:val="21"/>
          <w:szCs w:val="21"/>
        </w:rPr>
        <w:t xml:space="preserve">$12 million for new error-prevention strategies and technology, plus $6.2 million in AFY2026 for Gateway system updates, plus $11 million to hire 319 additional DFCS staff.</w:t>
      </w:r>
    </w:p>
    <w:p>
      <w:pPr>
        <w:pStyle w:val="ListParagraph"/>
        <w:numPr>
          <w:ilvl w:val="0"/>
          <w:numId w:val="2"/>
        </w:numPr>
        <w:spacing w:after="80" w:line="276"/>
      </w:pPr>
      <w:r>
        <w:rPr>
          <w:rFonts w:ascii="Arial" w:cs="Arial" w:eastAsia="Arial" w:hAnsi="Arial"/>
          <w:b/>
          <w:bCs/>
          <w:color w:val="222222"/>
          <w:sz w:val="21"/>
          <w:szCs w:val="21"/>
        </w:rPr>
        <w:t xml:space="preserve">HB 947 (Georgia SNAP Integrity Act of 2026): </w:t>
      </w:r>
      <w:r>
        <w:rPr>
          <w:rFonts w:ascii="Arial" w:cs="Arial" w:eastAsia="Arial" w:hAnsi="Arial"/>
          <w:color w:val="222222"/>
          <w:sz w:val="21"/>
          <w:szCs w:val="21"/>
        </w:rPr>
        <w:t xml:space="preserve">Mandates verification of all eligibility criteria within 30 days, introduces a pre-authorization accuracy checklist requiring automated validation of income and household composition, shortens recertification to every 4 months for certain households, and requires data-matching with the Departments of Corrections, Labor, and the Georgia Lottery Corporation.</w:t>
      </w:r>
    </w:p>
    <w:p>
      <w:pPr>
        <w:pStyle w:val="ListParagraph"/>
        <w:numPr>
          <w:ilvl w:val="0"/>
          <w:numId w:val="2"/>
        </w:numPr>
        <w:spacing w:after="80" w:line="276"/>
      </w:pPr>
      <w:r>
        <w:rPr>
          <w:rFonts w:ascii="Arial" w:cs="Arial" w:eastAsia="Arial" w:hAnsi="Arial"/>
          <w:b/>
          <w:bCs/>
          <w:color w:val="222222"/>
          <w:sz w:val="21"/>
          <w:szCs w:val="21"/>
        </w:rPr>
        <w:t xml:space="preserve">Federal pressure: </w:t>
      </w:r>
      <w:r>
        <w:rPr>
          <w:rFonts w:ascii="Arial" w:cs="Arial" w:eastAsia="Arial" w:hAnsi="Arial"/>
          <w:color w:val="222222"/>
          <w:sz w:val="21"/>
          <w:szCs w:val="21"/>
        </w:rPr>
        <w:t xml:space="preserve">USDA requires Georgia to submit and execute a corrective action plan addressing root causes. Forty-four states are in this position nationally.</w:t>
      </w:r>
    </w:p>
    <w:p>
      <w:pPr>
        <w:pBdr>
          <w:bottom w:val="single" w:color="2E75B6" w:sz="4" w:space="1"/>
        </w:pBdr>
        <w:spacing w:before="200" w:after="200"/>
      </w:pPr>
    </w:p>
    <w:p>
      <w:pPr>
        <w:pStyle w:val="Heading1"/>
        <w:spacing w:before="400" w:after="200"/>
      </w:pPr>
      <w:r>
        <w:rPr>
          <w:rFonts w:ascii="Arial" w:cs="Arial" w:eastAsia="Arial" w:hAnsi="Arial"/>
          <w:b/>
          <w:bCs/>
          <w:color w:val="1B3A5C"/>
          <w:sz w:val="32"/>
          <w:szCs w:val="32"/>
        </w:rPr>
        <w:t xml:space="preserve">3. The Product</w:t>
      </w:r>
    </w:p>
    <w:p>
      <w:pPr>
        <w:pStyle w:val="Heading2"/>
        <w:spacing w:before="300" w:after="150"/>
      </w:pPr>
      <w:r>
        <w:rPr>
          <w:rFonts w:ascii="Arial" w:cs="Arial" w:eastAsia="Arial" w:hAnsi="Arial"/>
          <w:b/>
          <w:bCs/>
          <w:color w:val="2E75B6"/>
          <w:sz w:val="26"/>
          <w:szCs w:val="26"/>
        </w:rPr>
        <w:t xml:space="preserve">3.1 What Cushion Does</w:t>
      </w:r>
    </w:p>
    <w:p>
      <w:pPr>
        <w:spacing w:after="160" w:line="276"/>
      </w:pPr>
      <w:r>
        <w:rPr>
          <w:rFonts w:ascii="Arial" w:cs="Arial" w:eastAsia="Arial" w:hAnsi="Arial"/>
          <w:color w:val="222222"/>
          <w:sz w:val="21"/>
          <w:szCs w:val="21"/>
        </w:rPr>
        <w:t xml:space="preserve">Cushion is an AI-powered intake preparation and payment accuracy tool deployed on tablets or kiosks in DFCS office lobbies. When an applicant walks in, they interact with Cushion before seeing a caseworker. Cushion collects the same data Georgia Gateway requires, but through a guided conversational interface that ensures accuracy, completeness, and consistency.</w:t>
      </w:r>
    </w:p>
    <w:p>
      <w:pPr>
        <w:spacing w:after="160" w:line="276"/>
      </w:pPr>
      <w:r>
        <w:rPr>
          <w:rFonts w:ascii="Arial" w:cs="Arial" w:eastAsia="Arial" w:hAnsi="Arial"/>
          <w:color w:val="222222"/>
          <w:sz w:val="21"/>
          <w:szCs w:val="21"/>
        </w:rPr>
        <w:t xml:space="preserve">Cushion produces a structured intake packet for the caseworker containing pre-calculated income figures, verified household composition, captured deductions, consistency flags, a personalized document checklist, and an expedited screening result. The caseworker reviews and verifies this information during the interview rather than building it from scratch.</w:t>
      </w:r>
    </w:p>
    <w:p>
      <w:pPr>
        <w:pStyle w:val="Heading2"/>
        <w:spacing w:before="300" w:after="150"/>
      </w:pPr>
      <w:r>
        <w:rPr>
          <w:rFonts w:ascii="Arial" w:cs="Arial" w:eastAsia="Arial" w:hAnsi="Arial"/>
          <w:b/>
          <w:bCs/>
          <w:color w:val="2E75B6"/>
          <w:sz w:val="26"/>
          <w:szCs w:val="26"/>
        </w:rPr>
        <w:t xml:space="preserve">3.2 Core Features</w:t>
      </w:r>
    </w:p>
    <w:p>
      <w:pPr>
        <w:spacing w:before="200" w:after="100"/>
      </w:pPr>
      <w:r>
        <w:rPr>
          <w:rFonts w:ascii="Arial" w:cs="Arial" w:eastAsia="Arial" w:hAnsi="Arial"/>
          <w:b/>
          <w:bCs/>
          <w:color w:val="1B3A5C"/>
          <w:sz w:val="22"/>
          <w:szCs w:val="22"/>
        </w:rPr>
        <w:t xml:space="preserve">Income Calculation Engine</w:t>
      </w:r>
    </w:p>
    <w:p>
      <w:pPr>
        <w:spacing w:after="160" w:line="276"/>
      </w:pPr>
      <w:r>
        <w:rPr>
          <w:rFonts w:ascii="Arial" w:cs="Arial" w:eastAsia="Arial" w:hAnsi="Arial"/>
          <w:color w:val="222222"/>
          <w:sz w:val="21"/>
          <w:szCs w:val="21"/>
        </w:rPr>
        <w:t xml:space="preserve">Instead of asking “what is your monthly income,” Cushion asks for pay frequency and gross amount per pay period for each income source. It applies SNAP’s specific conversion formulas (weekly × 4.333, biweekly × 2.167, semi-monthly × 2) and presents the caseworker with a pre-calculated monthly figure. For self-employment, Cushion walks through gross receipts and business expenses, then applies either itemized deductions or the 40% standard deduction, whichever is more favorable. The applicant sees the result and confirms it before submission, catching conversion errors at the point of entry.</w:t>
      </w:r>
    </w:p>
    <w:p>
      <w:pPr>
        <w:spacing w:before="200" w:after="100"/>
      </w:pPr>
      <w:r>
        <w:rPr>
          <w:rFonts w:ascii="Arial" w:cs="Arial" w:eastAsia="Arial" w:hAnsi="Arial"/>
          <w:b/>
          <w:bCs/>
          <w:color w:val="1B3A5C"/>
          <w:sz w:val="22"/>
          <w:szCs w:val="22"/>
        </w:rPr>
        <w:t xml:space="preserve">Household Composition Builder</w:t>
      </w:r>
    </w:p>
    <w:p>
      <w:pPr>
        <w:spacing w:after="160" w:line="276"/>
      </w:pPr>
      <w:r>
        <w:rPr>
          <w:rFonts w:ascii="Arial" w:cs="Arial" w:eastAsia="Arial" w:hAnsi="Arial"/>
          <w:color w:val="222222"/>
          <w:sz w:val="21"/>
          <w:szCs w:val="21"/>
        </w:rPr>
        <w:t xml:space="preserve">For each person in the home, Cushion applies the PAMMS “purchase and prepare” test through specific questions: “Do you buy groceries together? Do you share meals?” This correctly identifies who belongs in the SNAP assistance unit and who does not. Household size directly determines income thresholds and benefit amounts, making accuracy here critical to preventing overpayments.</w:t>
      </w:r>
    </w:p>
    <w:p>
      <w:pPr>
        <w:spacing w:before="200" w:after="100"/>
      </w:pPr>
      <w:r>
        <w:rPr>
          <w:rFonts w:ascii="Arial" w:cs="Arial" w:eastAsia="Arial" w:hAnsi="Arial"/>
          <w:b/>
          <w:bCs/>
          <w:color w:val="1B3A5C"/>
          <w:sz w:val="22"/>
          <w:szCs w:val="22"/>
        </w:rPr>
        <w:t xml:space="preserve">Deduction Capture Engine</w:t>
      </w:r>
    </w:p>
    <w:p>
      <w:pPr>
        <w:spacing w:after="160" w:line="276"/>
      </w:pPr>
      <w:r>
        <w:rPr>
          <w:rFonts w:ascii="Arial" w:cs="Arial" w:eastAsia="Arial" w:hAnsi="Arial"/>
          <w:color w:val="222222"/>
          <w:sz w:val="21"/>
          <w:szCs w:val="21"/>
        </w:rPr>
        <w:t xml:space="preserve">Cushion proactively screens for every applicable deduction based on the household profile. It asks about shelter costs with granularity (rent, mortgage, property tax, insurance, and each utility separately), child care tied to work or training, medical expenses for elderly or disabled members, and child support payments. It calculates the excess shelter deduction with the correct conditional cap logic and presents the caseworker with pre-calculated deduction amounts.</w:t>
      </w:r>
    </w:p>
    <w:p>
      <w:pPr>
        <w:spacing w:before="200" w:after="100"/>
      </w:pPr>
      <w:r>
        <w:rPr>
          <w:rFonts w:ascii="Arial" w:cs="Arial" w:eastAsia="Arial" w:hAnsi="Arial"/>
          <w:b/>
          <w:bCs/>
          <w:color w:val="1B3A5C"/>
          <w:sz w:val="22"/>
          <w:szCs w:val="22"/>
        </w:rPr>
        <w:t xml:space="preserve">Pre-Authorization Consistency Check</w:t>
      </w:r>
    </w:p>
    <w:p>
      <w:pPr>
        <w:spacing w:after="160" w:line="276"/>
      </w:pPr>
      <w:r>
        <w:rPr>
          <w:rFonts w:ascii="Arial" w:cs="Arial" w:eastAsia="Arial" w:hAnsi="Arial"/>
          <w:color w:val="222222"/>
          <w:sz w:val="21"/>
          <w:szCs w:val="21"/>
        </w:rPr>
        <w:t xml:space="preserve">After data collection, Cushion runs an automated consistency check that satisfies HB 947’s pre-authorization accuracy requirement. The system flags inconsistencies: income reported as $0 with $1,200/month in rent; household size that doesn’t align with reported income sources; deductions claimed without qualifying circumstances; income at the eligibility threshold where small errors have outsized impact. Flags appear on the caseworker’s dashboard as color-coded risk indicators (green/yellow/red), directing their verification effort to the highest-risk fields.</w:t>
      </w:r>
    </w:p>
    <w:p>
      <w:pPr>
        <w:spacing w:before="200" w:after="100"/>
      </w:pPr>
      <w:r>
        <w:rPr>
          <w:rFonts w:ascii="Arial" w:cs="Arial" w:eastAsia="Arial" w:hAnsi="Arial"/>
          <w:b/>
          <w:bCs/>
          <w:color w:val="1B3A5C"/>
          <w:sz w:val="22"/>
          <w:szCs w:val="22"/>
        </w:rPr>
        <w:t xml:space="preserve">AI-Guided Q&amp;A Assistant</w:t>
      </w:r>
    </w:p>
    <w:p>
      <w:pPr>
        <w:spacing w:after="160" w:line="276"/>
      </w:pPr>
      <w:r>
        <w:rPr>
          <w:rFonts w:ascii="Arial" w:cs="Arial" w:eastAsia="Arial" w:hAnsi="Arial"/>
          <w:color w:val="222222"/>
          <w:sz w:val="21"/>
          <w:szCs w:val="21"/>
        </w:rPr>
        <w:t xml:space="preserve">Throughout the intake, applicants can ask questions in plain language. The AI answers instantly, drawing from Georgia’s PAMMS policy manual and SNAP eligibility rules. “Does my boyfriend count as part of my household?” “Do I report my disability check as income?” “What if I just started a new job?” These questions currently consume 10–15 minutes of caseworker time per interview. Cushion handles them in real time. The AI guides applicants through the process; it does not analyze, scan, or validate any documents.</w:t>
      </w:r>
    </w:p>
    <w:p>
      <w:pPr>
        <w:spacing w:before="200" w:after="100"/>
      </w:pPr>
      <w:r>
        <w:rPr>
          <w:rFonts w:ascii="Arial" w:cs="Arial" w:eastAsia="Arial" w:hAnsi="Arial"/>
          <w:b/>
          <w:bCs/>
          <w:color w:val="1B3A5C"/>
          <w:sz w:val="22"/>
          <w:szCs w:val="22"/>
        </w:rPr>
        <w:t xml:space="preserve">Personalized Document Checklist</w:t>
      </w:r>
    </w:p>
    <w:p>
      <w:pPr>
        <w:spacing w:after="160" w:line="276"/>
      </w:pPr>
      <w:r>
        <w:rPr>
          <w:rFonts w:ascii="Arial" w:cs="Arial" w:eastAsia="Arial" w:hAnsi="Arial"/>
          <w:color w:val="222222"/>
          <w:sz w:val="21"/>
          <w:szCs w:val="21"/>
        </w:rPr>
        <w:t xml:space="preserve">Based on the applicant’s specific situation, Cushion generates a tailored document list explaining what to bring and why, in plain language. Not the generic DFCS handout—a specific list for their household. This directly reduces the rate of incomplete-document visits, which represent a significant share of procedural denials and wasted caseworker time.</w:t>
      </w:r>
    </w:p>
    <w:p>
      <w:pPr>
        <w:spacing w:before="200" w:after="100"/>
      </w:pPr>
      <w:r>
        <w:rPr>
          <w:rFonts w:ascii="Arial" w:cs="Arial" w:eastAsia="Arial" w:hAnsi="Arial"/>
          <w:b/>
          <w:bCs/>
          <w:color w:val="1B3A5C"/>
          <w:sz w:val="22"/>
          <w:szCs w:val="22"/>
        </w:rPr>
        <w:t xml:space="preserve">Recertification Change-Detection Flow</w:t>
      </w:r>
    </w:p>
    <w:p>
      <w:pPr>
        <w:spacing w:after="160" w:line="276"/>
      </w:pPr>
      <w:r>
        <w:rPr>
          <w:rFonts w:ascii="Arial" w:cs="Arial" w:eastAsia="Arial" w:hAnsi="Arial"/>
          <w:color w:val="222222"/>
          <w:sz w:val="21"/>
          <w:szCs w:val="21"/>
        </w:rPr>
        <w:t xml:space="preserve">For returning applicants, Cushion loads their prior intake record and presents it as a starting point. The applicant confirms or updates their information. Cushion flags what changed since last certification and by how much, generating a change summary for the caseworker. With HB 947 shortening recertification to every 4 months for certain households, this feature is critical for managing the surge in recertification volume without proportionally increasing caseworker workload.</w:t>
      </w:r>
    </w:p>
    <w:p>
      <w:pPr>
        <w:spacing w:before="200" w:after="100"/>
      </w:pPr>
      <w:r>
        <w:rPr>
          <w:rFonts w:ascii="Arial" w:cs="Arial" w:eastAsia="Arial" w:hAnsi="Arial"/>
          <w:b/>
          <w:bCs/>
          <w:color w:val="1B3A5C"/>
          <w:sz w:val="22"/>
          <w:szCs w:val="22"/>
        </w:rPr>
        <w:t xml:space="preserve">Audit Trail Generator</w:t>
      </w:r>
    </w:p>
    <w:p>
      <w:pPr>
        <w:spacing w:after="160" w:line="276"/>
      </w:pPr>
      <w:r>
        <w:rPr>
          <w:rFonts w:ascii="Arial" w:cs="Arial" w:eastAsia="Arial" w:hAnsi="Arial"/>
          <w:color w:val="222222"/>
          <w:sz w:val="21"/>
          <w:szCs w:val="21"/>
        </w:rPr>
        <w:t xml:space="preserve">Every intake generates a timestamped record of questions asked, answers given, consistency checks run, and flags raised. This documentation artifact can be attached to the case file in Gateway, providing a secondary audit trail that demonstrates due diligence during QC review.</w:t>
      </w:r>
    </w:p>
    <w:p>
      <w:pPr>
        <w:pStyle w:val="Heading2"/>
        <w:spacing w:before="300" w:after="150"/>
      </w:pPr>
      <w:r>
        <w:rPr>
          <w:rFonts w:ascii="Arial" w:cs="Arial" w:eastAsia="Arial" w:hAnsi="Arial"/>
          <w:b/>
          <w:bCs/>
          <w:color w:val="2E75B6"/>
          <w:sz w:val="26"/>
          <w:szCs w:val="26"/>
        </w:rPr>
        <w:t xml:space="preserve">3.3 What Cushion Does Not Do</w:t>
      </w:r>
    </w:p>
    <w:p>
      <w:pPr>
        <w:spacing w:after="160" w:line="276"/>
      </w:pPr>
      <w:r>
        <w:rPr>
          <w:rFonts w:ascii="Arial" w:cs="Arial" w:eastAsia="Arial" w:hAnsi="Arial"/>
          <w:color w:val="222222"/>
          <w:sz w:val="21"/>
          <w:szCs w:val="21"/>
        </w:rPr>
        <w:t xml:space="preserve">Cushion does not make eligibility determinations. It does not approve or deny benefits. It does not access, integrate with, or transmit data to Georgia Gateway—the caseworker handles that transfer. It does not analyze, scan, OCR, or validate any documents. It does not store document images. It does not replace any part of the caseworker’s role. It is a preparation and accuracy layer, not a decision layer.</w:t>
      </w:r>
    </w:p>
    <w:p>
      <w:pPr>
        <w:pBdr>
          <w:bottom w:val="single" w:color="2E75B6" w:sz="4" w:space="1"/>
        </w:pBdr>
        <w:spacing w:before="200" w:after="200"/>
      </w:pPr>
    </w:p>
    <w:p>
      <w:pPr>
        <w:pStyle w:val="Heading1"/>
        <w:spacing w:before="400" w:after="200"/>
      </w:pPr>
      <w:r>
        <w:rPr>
          <w:rFonts w:ascii="Arial" w:cs="Arial" w:eastAsia="Arial" w:hAnsi="Arial"/>
          <w:b/>
          <w:bCs/>
          <w:color w:val="1B3A5C"/>
          <w:sz w:val="32"/>
          <w:szCs w:val="32"/>
        </w:rPr>
        <w:t xml:space="preserve">4. Data Architecture &amp; Security</w:t>
      </w:r>
    </w:p>
    <w:p>
      <w:pPr>
        <w:pStyle w:val="Heading2"/>
        <w:spacing w:before="300" w:after="150"/>
      </w:pPr>
      <w:r>
        <w:rPr>
          <w:rFonts w:ascii="Arial" w:cs="Arial" w:eastAsia="Arial" w:hAnsi="Arial"/>
          <w:b/>
          <w:bCs/>
          <w:color w:val="2E75B6"/>
          <w:sz w:val="26"/>
          <w:szCs w:val="26"/>
        </w:rPr>
        <w:t xml:space="preserve">4.1 Data Ownership</w:t>
      </w:r>
    </w:p>
    <w:p>
      <w:pPr>
        <w:spacing w:after="160" w:line="276"/>
      </w:pPr>
      <w:r>
        <w:rPr>
          <w:rFonts w:ascii="Arial" w:cs="Arial" w:eastAsia="Arial" w:hAnsi="Arial"/>
          <w:color w:val="222222"/>
          <w:sz w:val="21"/>
          <w:szCs w:val="21"/>
        </w:rPr>
        <w:t xml:space="preserve">The county or state owns all applicant data. Cushion never stores applicant data on Cushion’s infrastructure. The application runs in the county’s environment, the database resides in the county’s environment, and Cushion operates as licensed software—not a service that holds government data.</w:t>
      </w:r>
    </w:p>
    <w:p>
      <w:pPr>
        <w:pStyle w:val="Heading2"/>
        <w:spacing w:before="300" w:after="150"/>
      </w:pPr>
      <w:r>
        <w:rPr>
          <w:rFonts w:ascii="Arial" w:cs="Arial" w:eastAsia="Arial" w:hAnsi="Arial"/>
          <w:b/>
          <w:bCs/>
          <w:color w:val="2E75B6"/>
          <w:sz w:val="26"/>
          <w:szCs w:val="26"/>
        </w:rPr>
        <w:t xml:space="preserve">4.2 Deployment Options</w:t>
      </w:r>
    </w:p>
    <w:p>
      <w:pPr>
        <w:pStyle w:val="ListParagraph"/>
        <w:numPr>
          <w:ilvl w:val="0"/>
          <w:numId w:val="2"/>
        </w:numPr>
        <w:spacing w:after="80" w:line="276"/>
      </w:pPr>
      <w:r>
        <w:rPr>
          <w:rFonts w:ascii="Arial" w:cs="Arial" w:eastAsia="Arial" w:hAnsi="Arial"/>
          <w:b/>
          <w:bCs/>
          <w:color w:val="222222"/>
          <w:sz w:val="21"/>
          <w:szCs w:val="21"/>
        </w:rPr>
        <w:t xml:space="preserve">County-hosted: </w:t>
      </w:r>
      <w:r>
        <w:rPr>
          <w:rFonts w:ascii="Arial" w:cs="Arial" w:eastAsia="Arial" w:hAnsi="Arial"/>
          <w:color w:val="222222"/>
          <w:sz w:val="21"/>
          <w:szCs w:val="21"/>
        </w:rPr>
        <w:t xml:space="preserve">Cushion deploys as a self-contained application on the county’s own infrastructure or cloud tenant. The PostgreSQL database sits inside the county’s environment. The caseworker accesses the dashboard on the same internal network used for Gateway. No applicant data crosses the internet.</w:t>
      </w:r>
    </w:p>
    <w:p>
      <w:pPr>
        <w:pStyle w:val="ListParagraph"/>
        <w:numPr>
          <w:ilvl w:val="0"/>
          <w:numId w:val="2"/>
        </w:numPr>
        <w:spacing w:after="80" w:line="276"/>
      </w:pPr>
      <w:r>
        <w:rPr>
          <w:rFonts w:ascii="Arial" w:cs="Arial" w:eastAsia="Arial" w:hAnsi="Arial"/>
          <w:b/>
          <w:bCs/>
          <w:color w:val="222222"/>
          <w:sz w:val="21"/>
          <w:szCs w:val="21"/>
        </w:rPr>
        <w:t xml:space="preserve">Dedicated cloud tenant: </w:t>
      </w:r>
      <w:r>
        <w:rPr>
          <w:rFonts w:ascii="Arial" w:cs="Arial" w:eastAsia="Arial" w:hAnsi="Arial"/>
          <w:color w:val="222222"/>
          <w:sz w:val="21"/>
          <w:szCs w:val="21"/>
        </w:rPr>
        <w:t xml:space="preserve">Cushion provisions an isolated environment for each county in AWS GovCloud or Azure Government. The county owns the tenant and controls the encryption keys. Cushion has access to deploy and update application code; access to data requires county authorization. If the contract ends, the county keeps everything.</w:t>
      </w:r>
    </w:p>
    <w:p>
      <w:pPr>
        <w:pStyle w:val="Heading2"/>
        <w:spacing w:before="300" w:after="150"/>
      </w:pPr>
      <w:r>
        <w:rPr>
          <w:rFonts w:ascii="Arial" w:cs="Arial" w:eastAsia="Arial" w:hAnsi="Arial"/>
          <w:b/>
          <w:bCs/>
          <w:color w:val="2E75B6"/>
          <w:sz w:val="26"/>
          <w:szCs w:val="26"/>
        </w:rPr>
        <w:t xml:space="preserve">4.3 AI Processing and PII Protection</w:t>
      </w:r>
    </w:p>
    <w:p>
      <w:pPr>
        <w:spacing w:after="160" w:line="276"/>
      </w:pPr>
      <w:r>
        <w:rPr>
          <w:rFonts w:ascii="Arial" w:cs="Arial" w:eastAsia="Arial" w:hAnsi="Arial"/>
          <w:color w:val="222222"/>
          <w:sz w:val="21"/>
          <w:szCs w:val="21"/>
        </w:rPr>
        <w:t xml:space="preserve">The AI component requires API calls to process applicant responses. To protect PII:</w:t>
      </w:r>
    </w:p>
    <w:p>
      <w:pPr>
        <w:pStyle w:val="ListParagraph"/>
        <w:numPr>
          <w:ilvl w:val="0"/>
          <w:numId w:val="3"/>
        </w:numPr>
        <w:spacing w:after="80" w:line="276"/>
      </w:pPr>
      <w:r>
        <w:rPr>
          <w:rFonts w:ascii="Arial" w:cs="Arial" w:eastAsia="Arial" w:hAnsi="Arial"/>
          <w:color w:val="222222"/>
          <w:sz w:val="21"/>
          <w:szCs w:val="21"/>
        </w:rPr>
        <w:t xml:space="preserve">PII stripping before API calls: Identifying information (names, SSNs, addresses) is replaced with placeholders before any data leaves the county’s environment. The AI processes income figures, household sizes, and expense amounts—numbers, not identifiers. The mapping between placeholders and real data occurs entirely within the county’s environment.</w:t>
      </w:r>
    </w:p>
    <w:p>
      <w:pPr>
        <w:pStyle w:val="ListParagraph"/>
        <w:numPr>
          <w:ilvl w:val="0"/>
          <w:numId w:val="3"/>
        </w:numPr>
        <w:spacing w:after="80" w:line="276"/>
      </w:pPr>
      <w:r>
        <w:rPr>
          <w:rFonts w:ascii="Arial" w:cs="Arial" w:eastAsia="Arial" w:hAnsi="Arial"/>
          <w:color w:val="222222"/>
          <w:sz w:val="21"/>
          <w:szCs w:val="21"/>
        </w:rPr>
        <w:t xml:space="preserve">Zero data retention: API calls are made with zero data retention guarantees. Inputs and outputs are not stored or used for model training. Data passes through for processing and is immediately discarded.</w:t>
      </w:r>
    </w:p>
    <w:p>
      <w:pPr>
        <w:pStyle w:val="ListParagraph"/>
        <w:numPr>
          <w:ilvl w:val="0"/>
          <w:numId w:val="3"/>
        </w:numPr>
        <w:spacing w:after="80" w:line="276"/>
      </w:pPr>
      <w:r>
        <w:rPr>
          <w:rFonts w:ascii="Arial" w:cs="Arial" w:eastAsia="Arial" w:hAnsi="Arial"/>
          <w:color w:val="222222"/>
          <w:sz w:val="21"/>
          <w:szCs w:val="21"/>
        </w:rPr>
        <w:t xml:space="preserve">On-premise model option (future state): For full statewide deployment, a locally hosted model can handle conversational intake, eliminating any external data transmission.</w:t>
      </w:r>
    </w:p>
    <w:p>
      <w:pPr>
        <w:pStyle w:val="Heading2"/>
        <w:spacing w:before="300" w:after="150"/>
      </w:pPr>
      <w:r>
        <w:rPr>
          <w:rFonts w:ascii="Arial" w:cs="Arial" w:eastAsia="Arial" w:hAnsi="Arial"/>
          <w:b/>
          <w:bCs/>
          <w:color w:val="2E75B6"/>
          <w:sz w:val="26"/>
          <w:szCs w:val="26"/>
        </w:rPr>
        <w:t xml:space="preserve">4.4 Data Flow</w:t>
      </w:r>
    </w:p>
    <w:p>
      <w:pPr>
        <w:spacing w:after="160" w:line="276"/>
      </w:pPr>
      <w:r>
        <w:rPr>
          <w:rFonts w:ascii="Arial" w:cs="Arial" w:eastAsia="Arial" w:hAnsi="Arial"/>
          <w:color w:val="222222"/>
          <w:sz w:val="21"/>
          <w:szCs w:val="21"/>
        </w:rPr>
        <w:t xml:space="preserve">The applicant interacts with a tablet in the DFCS lobby running a browser pointed at the Cushion application hosted in the county’s environment. Every response is written to the county’s database in real time. No data is stored on the tablet. When the intake is complete, the caseworker’s dashboard shows a new entry in their queue. They review the structured summary, conduct the interview, and enter verified data into Gateway as they do today.</w:t>
      </w:r>
    </w:p>
    <w:p>
      <w:pPr>
        <w:pStyle w:val="Heading2"/>
        <w:spacing w:before="300" w:after="150"/>
      </w:pPr>
      <w:r>
        <w:rPr>
          <w:rFonts w:ascii="Arial" w:cs="Arial" w:eastAsia="Arial" w:hAnsi="Arial"/>
          <w:b/>
          <w:bCs/>
          <w:color w:val="2E75B6"/>
          <w:sz w:val="26"/>
          <w:szCs w:val="26"/>
        </w:rPr>
        <w:t xml:space="preserve">4.5 Analytics and Reporting</w:t>
      </w:r>
    </w:p>
    <w:p>
      <w:pPr>
        <w:spacing w:after="160" w:line="276"/>
      </w:pPr>
      <w:r>
        <w:rPr>
          <w:rFonts w:ascii="Arial" w:cs="Arial" w:eastAsia="Arial" w:hAnsi="Arial"/>
          <w:color w:val="222222"/>
          <w:sz w:val="21"/>
          <w:szCs w:val="21"/>
        </w:rPr>
        <w:t xml:space="preserve">Cushion’s reporting dashboard runs inside the county’s environment on the county’s data, providing intake volume, completion rates, flag rates by type, and other management metrics. The county may optionally share aggregate, de-identified performance metrics with Cushion for product improvement and program evaluation. No personally identifiable information is included. The county controls the export, reviews the specific metrics, and retains the right to discontinue sharing at any time.</w:t>
      </w:r>
    </w:p>
    <w:p>
      <w:pPr>
        <w:pStyle w:val="Heading2"/>
        <w:spacing w:before="300" w:after="150"/>
      </w:pPr>
      <w:r>
        <w:rPr>
          <w:rFonts w:ascii="Arial" w:cs="Arial" w:eastAsia="Arial" w:hAnsi="Arial"/>
          <w:b/>
          <w:bCs/>
          <w:color w:val="2E75B6"/>
          <w:sz w:val="26"/>
          <w:szCs w:val="26"/>
        </w:rPr>
        <w:t xml:space="preserve">4.6 Data Retention</w:t>
      </w:r>
    </w:p>
    <w:p>
      <w:pPr>
        <w:spacing w:after="160" w:line="276"/>
      </w:pPr>
      <w:r>
        <w:rPr>
          <w:rFonts w:ascii="Arial" w:cs="Arial" w:eastAsia="Arial" w:hAnsi="Arial"/>
          <w:color w:val="222222"/>
          <w:sz w:val="21"/>
          <w:szCs w:val="21"/>
        </w:rPr>
        <w:t xml:space="preserve">The county sets the retention policy. Cushion’s application respects whatever schedule the county determines. When the engagement ends, the county retains all data and Cushion retains nothing.</w:t>
      </w:r>
    </w:p>
    <w:p>
      <w:pPr>
        <w:pBdr>
          <w:bottom w:val="single" w:color="2E75B6" w:sz="4" w:space="1"/>
        </w:pBdr>
        <w:spacing w:before="200" w:after="200"/>
      </w:pPr>
    </w:p>
    <w:p>
      <w:pPr>
        <w:pStyle w:val="Heading1"/>
        <w:spacing w:before="400" w:after="200"/>
      </w:pPr>
      <w:r>
        <w:rPr>
          <w:rFonts w:ascii="Arial" w:cs="Arial" w:eastAsia="Arial" w:hAnsi="Arial"/>
          <w:b/>
          <w:bCs/>
          <w:color w:val="1B3A5C"/>
          <w:sz w:val="32"/>
          <w:szCs w:val="32"/>
        </w:rPr>
        <w:t xml:space="preserve">5. Technology</w:t>
      </w:r>
    </w:p>
    <w:p>
      <w:pPr>
        <w:spacing w:after="160" w:line="276"/>
      </w:pPr>
      <w:r>
        <w:rPr>
          <w:rFonts w:ascii="Arial" w:cs="Arial" w:eastAsia="Arial" w:hAnsi="Arial"/>
          <w:color w:val="222222"/>
          <w:sz w:val="21"/>
          <w:szCs w:val="21"/>
        </w:rPr>
        <w:t xml:space="preserve">Cushion is built on Node.js and Express with PostgreSQL and Prisma ORM. The AI assistant uses Claude via the Anthropic API, with the eligibility rules and policy guidance from Georgia’s PAMMS system and Gateway field mappings encoded in the system prompt. The front end is responsive and optimized for tablet use in kiosk/lobby settings. No native app installation is required. The county points a browser at Cushion and it runs.</w:t>
      </w:r>
    </w:p>
    <w:p>
      <w:pPr>
        <w:spacing w:after="160" w:line="276"/>
      </w:pPr>
      <w:r>
        <w:rPr>
          <w:rFonts w:ascii="Arial" w:cs="Arial" w:eastAsia="Arial" w:hAnsi="Arial"/>
          <w:color w:val="222222"/>
          <w:sz w:val="21"/>
          <w:szCs w:val="21"/>
        </w:rPr>
        <w:t xml:space="preserve">The Georgia Gateway application flow and Forms 297 and 508 are publicly available, allowing Cushion to map every data field, validation rule, and conditional logic branch. The output format mirrors Gateway’s input structure so caseworkers can transfer information without re-keying.</w:t>
      </w:r>
    </w:p>
    <w:p>
      <w:pPr>
        <w:pBdr>
          <w:bottom w:val="single" w:color="2E75B6" w:sz="4" w:space="1"/>
        </w:pBdr>
        <w:spacing w:before="200" w:after="200"/>
      </w:pPr>
    </w:p>
    <w:p>
      <w:pPr>
        <w:pStyle w:val="Heading1"/>
        <w:spacing w:before="400" w:after="200"/>
      </w:pPr>
      <w:r>
        <w:rPr>
          <w:rFonts w:ascii="Arial" w:cs="Arial" w:eastAsia="Arial" w:hAnsi="Arial"/>
          <w:b/>
          <w:bCs/>
          <w:color w:val="1B3A5C"/>
          <w:sz w:val="32"/>
          <w:szCs w:val="32"/>
        </w:rPr>
        <w:t xml:space="preserve">6. Market Opportunity</w:t>
      </w:r>
    </w:p>
    <w:p>
      <w:pPr>
        <w:pStyle w:val="Heading2"/>
        <w:spacing w:before="300" w:after="150"/>
      </w:pPr>
      <w:r>
        <w:rPr>
          <w:rFonts w:ascii="Arial" w:cs="Arial" w:eastAsia="Arial" w:hAnsi="Arial"/>
          <w:b/>
          <w:bCs/>
          <w:color w:val="2E75B6"/>
          <w:sz w:val="26"/>
          <w:szCs w:val="26"/>
        </w:rPr>
        <w:t xml:space="preserve">6.1 Georgia</w:t>
      </w:r>
    </w:p>
    <w:p>
      <w:pPr>
        <w:spacing w:after="160" w:line="276"/>
      </w:pPr>
      <w:r>
        <w:rPr>
          <w:rFonts w:ascii="Arial" w:cs="Arial" w:eastAsia="Arial" w:hAnsi="Arial"/>
          <w:color w:val="222222"/>
          <w:sz w:val="21"/>
          <w:szCs w:val="21"/>
        </w:rPr>
        <w:t xml:space="preserve">Georgia serves 1.77 million SNAP recipients across 705,000 households in 159 counties. Estimated statewide intake volume is 17,500–23,000 per month for new applications, rising to 40,000–60,000+ monthly interactions when including recertifications—especially under HB 947’s accelerated recertification schedule.</w:t>
      </w:r>
    </w:p>
    <w:p>
      <w:pPr>
        <w:spacing w:after="160" w:line="276"/>
      </w:pPr>
      <w:r>
        <w:rPr>
          <w:rFonts w:ascii="Arial" w:cs="Arial" w:eastAsia="Arial" w:hAnsi="Arial"/>
          <w:color w:val="222222"/>
          <w:sz w:val="21"/>
          <w:szCs w:val="21"/>
        </w:rPr>
        <w:t xml:space="preserve">Key target counties by SNAP volume: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800"/>
        <w:gridCol w:w="23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County</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SNAP Households</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Monthly Benefits</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Est. Monthly Intakes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DeKalb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54,000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$20.8 million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1,500–2,500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Fulton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60,000–75,000 (est.)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$25–30 million (est.)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2,000–3,500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Gwinnett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35,000–45,000 (est.)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$15–20 million (est.)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1,200–2,000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Cobb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25,000–35,000 (est.)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$10–15 million (est.)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800–1,500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Clayton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25,000–30,000 (est.)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$10–15 million (est.)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800–1,200</w:t>
            </w:r>
          </w:p>
        </w:tc>
      </w:tr>
    </w:tbl>
    <w:p>
      <w:pPr>
        <w:spacing w:after="80"/>
      </w:pPr>
    </w:p>
    <w:p>
      <w:pPr>
        <w:pStyle w:val="Heading2"/>
        <w:spacing w:before="300" w:after="150"/>
      </w:pPr>
      <w:r>
        <w:rPr>
          <w:rFonts w:ascii="Arial" w:cs="Arial" w:eastAsia="Arial" w:hAnsi="Arial"/>
          <w:b/>
          <w:bCs/>
          <w:color w:val="2E75B6"/>
          <w:sz w:val="26"/>
          <w:szCs w:val="26"/>
        </w:rPr>
        <w:t xml:space="preserve">6.2 National</w:t>
      </w:r>
    </w:p>
    <w:p>
      <w:pPr>
        <w:spacing w:after="160" w:line="276"/>
      </w:pPr>
      <w:r>
        <w:rPr>
          <w:rFonts w:ascii="Arial" w:cs="Arial" w:eastAsia="Arial" w:hAnsi="Arial"/>
          <w:color w:val="222222"/>
          <w:sz w:val="21"/>
          <w:szCs w:val="21"/>
        </w:rPr>
        <w:t xml:space="preserve">Forty-four states have SNAP error rates above the 6% OBBBA threshold. The five states with the highest error rates are Alaska (24.66%), Washington D.C. (17.38%), Georgia (15.65%), Florida (15.13%), and New Mexico (14.61%). Each faces significant cost-sharing exposure. Cushion’s architecture—eligibility rules database plus Gateway-equivalent field mapping—can be replicated for any state. The existing database already covers 23 states.</w:t>
      </w:r>
    </w:p>
    <w:p>
      <w:pPr>
        <w:pBdr>
          <w:bottom w:val="single" w:color="2E75B6" w:sz="4" w:space="1"/>
        </w:pBdr>
        <w:spacing w:before="200" w:after="200"/>
      </w:pPr>
    </w:p>
    <w:p>
      <w:pPr>
        <w:pStyle w:val="Heading1"/>
        <w:spacing w:before="400" w:after="200"/>
      </w:pPr>
      <w:r>
        <w:rPr>
          <w:rFonts w:ascii="Arial" w:cs="Arial" w:eastAsia="Arial" w:hAnsi="Arial"/>
          <w:b/>
          <w:bCs/>
          <w:color w:val="1B3A5C"/>
          <w:sz w:val="32"/>
          <w:szCs w:val="32"/>
        </w:rPr>
        <w:t xml:space="preserve">7. Pricing &amp; Unit Economics</w:t>
      </w:r>
    </w:p>
    <w:p>
      <w:pPr>
        <w:pStyle w:val="Heading2"/>
        <w:spacing w:before="300" w:after="150"/>
      </w:pPr>
      <w:r>
        <w:rPr>
          <w:rFonts w:ascii="Arial" w:cs="Arial" w:eastAsia="Arial" w:hAnsi="Arial"/>
          <w:b/>
          <w:bCs/>
          <w:color w:val="2E75B6"/>
          <w:sz w:val="26"/>
          <w:szCs w:val="26"/>
        </w:rPr>
        <w:t xml:space="preserve">7.1 Pricing Model</w:t>
      </w:r>
    </w:p>
    <w:p>
      <w:pPr>
        <w:spacing w:after="160" w:line="276"/>
      </w:pPr>
      <w:r>
        <w:rPr>
          <w:rFonts w:ascii="Arial" w:cs="Arial" w:eastAsia="Arial" w:hAnsi="Arial"/>
          <w:color w:val="222222"/>
          <w:sz w:val="21"/>
          <w:szCs w:val="21"/>
        </w:rPr>
        <w:t xml:space="preserve">$500/month platform fee plus $10 per completed intake. For a county the size of DeKalb processing approximately 2,000 intakes per month, this yields approximately $20,500/month or $246,000 annualized.</w:t>
      </w:r>
    </w:p>
    <w:p>
      <w:pPr>
        <w:pStyle w:val="Heading2"/>
        <w:spacing w:before="300" w:after="150"/>
      </w:pPr>
      <w:r>
        <w:rPr>
          <w:rFonts w:ascii="Arial" w:cs="Arial" w:eastAsia="Arial" w:hAnsi="Arial"/>
          <w:b/>
          <w:bCs/>
          <w:color w:val="2E75B6"/>
          <w:sz w:val="26"/>
          <w:szCs w:val="26"/>
        </w:rPr>
        <w:t xml:space="preserve">7.2 Cost Structure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500"/>
        <w:gridCol w:w="256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Cost Component</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Per Intake</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Monthly (1 County)</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Monthly (10 Counties)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API (optimized)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$0.35–$0.45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$700–$900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$7,000–$9,000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Hosting / Infrastructure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$50–$150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$150–$400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Storage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&lt; $5</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&lt; $20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Total Variable Cost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$0.35–$0.45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~$800–$1,050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~$7,200–$9,400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Revenue at $10/intake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$10.00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$20,500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$205,000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Gross Margin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~95%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~95%</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~95%</w:t>
            </w:r>
          </w:p>
        </w:tc>
      </w:tr>
    </w:tbl>
    <w:p>
      <w:pPr>
        <w:spacing w:after="80"/>
      </w:pPr>
    </w:p>
    <w:p>
      <w:pPr>
        <w:spacing w:after="160" w:line="276"/>
      </w:pPr>
      <w:r>
        <w:rPr>
          <w:rFonts w:ascii="Arial" w:cs="Arial" w:eastAsia="Arial" w:hAnsi="Arial"/>
          <w:color w:val="222222"/>
          <w:sz w:val="21"/>
          <w:szCs w:val="21"/>
        </w:rPr>
        <w:t xml:space="preserve">API costs are optimized through prompt caching (90% reduction on repeated system prompt), intelligent model routing (Haiku for simple data collection, Sonnet for complex eligibility Q&amp;A), and batch processing for non-real-time outputs.</w:t>
      </w:r>
    </w:p>
    <w:p>
      <w:pPr>
        <w:pStyle w:val="Heading2"/>
        <w:spacing w:before="300" w:after="150"/>
      </w:pPr>
      <w:r>
        <w:rPr>
          <w:rFonts w:ascii="Arial" w:cs="Arial" w:eastAsia="Arial" w:hAnsi="Arial"/>
          <w:b/>
          <w:bCs/>
          <w:color w:val="2E75B6"/>
          <w:sz w:val="26"/>
          <w:szCs w:val="26"/>
        </w:rPr>
        <w:t xml:space="preserve">7.3 Statewide Revenue Projection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Monthly Intakes</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Monthly Revenue</w:t>
            </w:r>
          </w:p>
        </w:tc>
        <w:tc>
          <w:tcPr>
            <w:tcW w:type="dxa" w:w="1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Annual Revenue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New intakes only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20,000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$200,000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$2.4 million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 Current recertifications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35,000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$350,000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$4.2 million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 HB 947 accelerated recerts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55,000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$550,000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$6.6 million</w:t>
            </w:r>
          </w:p>
        </w:tc>
      </w:tr>
    </w:tbl>
    <w:p>
      <w:pPr>
        <w:spacing w:after="80"/>
      </w:pPr>
    </w:p>
    <w:p>
      <w:pPr>
        <w:pStyle w:val="Heading2"/>
        <w:spacing w:before="300" w:after="150"/>
      </w:pPr>
      <w:r>
        <w:rPr>
          <w:rFonts w:ascii="Arial" w:cs="Arial" w:eastAsia="Arial" w:hAnsi="Arial"/>
          <w:b/>
          <w:bCs/>
          <w:color w:val="2E75B6"/>
          <w:sz w:val="26"/>
          <w:szCs w:val="26"/>
        </w:rPr>
        <w:t xml:space="preserve">7.4 Value Proposition for Georgia</w:t>
      </w:r>
    </w:p>
    <w:p>
      <w:pPr>
        <w:spacing w:after="160" w:line="276"/>
      </w:pPr>
      <w:r>
        <w:rPr>
          <w:rFonts w:ascii="Arial" w:cs="Arial" w:eastAsia="Arial" w:hAnsi="Arial"/>
          <w:color w:val="222222"/>
          <w:sz w:val="21"/>
          <w:szCs w:val="21"/>
        </w:rPr>
        <w:t xml:space="preserve">A $6.6 million annual Cushion deployment represents 1.4–4% of Georgia’s $162–$487 million OBBBA penalty exposure. The $12 million Governor Kemp budgeted for error-prevention technology in FY2027 would fully fund statewide deployment with room to spare. For comparison, the state has paid Deloitte over $380 million for Georgia Gateway—the system that processes determinations—while Cushion addresses the input quality problem that Gateway cannot solve, at a fraction of the cost.</w:t>
      </w:r>
    </w:p>
    <w:p>
      <w:pPr>
        <w:pBdr>
          <w:bottom w:val="single" w:color="2E75B6" w:sz="4" w:space="1"/>
        </w:pBdr>
        <w:spacing w:before="200" w:after="200"/>
      </w:pPr>
    </w:p>
    <w:p>
      <w:pPr>
        <w:pStyle w:val="Heading1"/>
        <w:spacing w:before="400" w:after="200"/>
      </w:pPr>
      <w:r>
        <w:rPr>
          <w:rFonts w:ascii="Arial" w:cs="Arial" w:eastAsia="Arial" w:hAnsi="Arial"/>
          <w:b/>
          <w:bCs/>
          <w:color w:val="1B3A5C"/>
          <w:sz w:val="32"/>
          <w:szCs w:val="32"/>
        </w:rPr>
        <w:t xml:space="preserve">8. Go-to-Market Strategy</w:t>
      </w:r>
    </w:p>
    <w:p>
      <w:pPr>
        <w:pStyle w:val="Heading2"/>
        <w:spacing w:before="300" w:after="150"/>
      </w:pPr>
      <w:r>
        <w:rPr>
          <w:rFonts w:ascii="Arial" w:cs="Arial" w:eastAsia="Arial" w:hAnsi="Arial"/>
          <w:b/>
          <w:bCs/>
          <w:color w:val="2E75B6"/>
          <w:sz w:val="26"/>
          <w:szCs w:val="26"/>
        </w:rPr>
        <w:t xml:space="preserve">Phase 1: DeKalb County Pilot (Months 1–4)</w:t>
      </w:r>
    </w:p>
    <w:p>
      <w:pPr>
        <w:spacing w:after="160" w:line="276"/>
      </w:pPr>
      <w:r>
        <w:rPr>
          <w:rFonts w:ascii="Arial" w:cs="Arial" w:eastAsia="Arial" w:hAnsi="Arial"/>
          <w:color w:val="222222"/>
          <w:sz w:val="21"/>
          <w:szCs w:val="21"/>
        </w:rPr>
        <w:t xml:space="preserve">Deploy Cushion on lobby kiosks at the DeKalb County DFCS office at 178 Sams Street, Decatur. The pilot is structured as a 90-day engagement at a flat rate under $50,000, keeping the contract within DeKalb County’s informal procurement threshold (formal sealed bids are required above $50,000). The entry point is the DeKalb County DFCS Director’s office, supported by the county CEO’s publicly stated “continuum of care” initiative around benefits access. During the pilot, Cushion collects anonymized performance metrics—intake times, flag rates, document completeness, correction rates—that become the evidence base for expansion.</w:t>
      </w:r>
    </w:p>
    <w:p>
      <w:pPr>
        <w:pStyle w:val="Heading2"/>
        <w:spacing w:before="300" w:after="150"/>
      </w:pPr>
      <w:r>
        <w:rPr>
          <w:rFonts w:ascii="Arial" w:cs="Arial" w:eastAsia="Arial" w:hAnsi="Arial"/>
          <w:b/>
          <w:bCs/>
          <w:color w:val="2E75B6"/>
          <w:sz w:val="26"/>
          <w:szCs w:val="26"/>
        </w:rPr>
        <w:t xml:space="preserve">Phase 2: Georgia Expansion (Months 5–12)</w:t>
      </w:r>
    </w:p>
    <w:p>
      <w:pPr>
        <w:spacing w:after="160" w:line="276"/>
      </w:pPr>
      <w:r>
        <w:rPr>
          <w:rFonts w:ascii="Arial" w:cs="Arial" w:eastAsia="Arial" w:hAnsi="Arial"/>
          <w:color w:val="222222"/>
          <w:sz w:val="21"/>
          <w:szCs w:val="21"/>
        </w:rPr>
        <w:t xml:space="preserve">Use DeKalb pilot data to approach Fulton County and 3–5 additional metro Atlanta counties. Simultaneously engage the state-level DHS Division of Family and Children Services, which oversees all 159 county DFCS offices. Position Cushion as a tool that addresses the HB 947 pre-authorization accuracy requirement and supports the state’s USDA corrective action plan. A state-level endorsement or preferred vendor designation accelerates county-by-county adoption. Target the $12 million FY2027 budget line for error-prevention technology as the funding source.</w:t>
      </w:r>
    </w:p>
    <w:p>
      <w:pPr>
        <w:pStyle w:val="Heading2"/>
        <w:spacing w:before="300" w:after="150"/>
      </w:pPr>
      <w:r>
        <w:rPr>
          <w:rFonts w:ascii="Arial" w:cs="Arial" w:eastAsia="Arial" w:hAnsi="Arial"/>
          <w:b/>
          <w:bCs/>
          <w:color w:val="2E75B6"/>
          <w:sz w:val="26"/>
          <w:szCs w:val="26"/>
        </w:rPr>
        <w:t xml:space="preserve">Phase 3: Multi-State Expansion (Year 2+)</w:t>
      </w:r>
    </w:p>
    <w:p>
      <w:pPr>
        <w:spacing w:after="160" w:line="276"/>
      </w:pPr>
      <w:r>
        <w:rPr>
          <w:rFonts w:ascii="Arial" w:cs="Arial" w:eastAsia="Arial" w:hAnsi="Arial"/>
          <w:color w:val="222222"/>
          <w:sz w:val="21"/>
          <w:szCs w:val="21"/>
        </w:rPr>
        <w:t xml:space="preserve">Replicate the Georgia playbook in 2–3 additional states with high error rates and documented caseworker capacity issues. Priority targets: Florida (15.13% error rate), New Mexico (14.61%), Massachusetts (14.19%), and New Jersey (13.72%). Each new state requires encoding that state’s eligibility rules and mapping their equivalent of Georgia Gateway’s data fields. The core product architecture does not change. Target: 10–15 county or state contracts across 3–4 states generating $2–4 million in annual recurring revenue by end of Year 2.</w:t>
      </w:r>
    </w:p>
    <w:p>
      <w:pPr>
        <w:pBdr>
          <w:bottom w:val="single" w:color="2E75B6" w:sz="4" w:space="1"/>
        </w:pBdr>
        <w:spacing w:before="200" w:after="200"/>
      </w:pPr>
    </w:p>
    <w:p>
      <w:pPr>
        <w:pStyle w:val="Heading1"/>
        <w:spacing w:before="400" w:after="200"/>
      </w:pPr>
      <w:r>
        <w:rPr>
          <w:rFonts w:ascii="Arial" w:cs="Arial" w:eastAsia="Arial" w:hAnsi="Arial"/>
          <w:b/>
          <w:bCs/>
          <w:color w:val="1B3A5C"/>
          <w:sz w:val="32"/>
          <w:szCs w:val="32"/>
        </w:rPr>
        <w:t xml:space="preserve">9. Competitive Landscape</w:t>
      </w:r>
    </w:p>
    <w:p>
      <w:pPr>
        <w:spacing w:after="160" w:line="276"/>
      </w:pPr>
      <w:r>
        <w:rPr>
          <w:rFonts w:ascii="Arial" w:cs="Arial" w:eastAsia="Arial" w:hAnsi="Arial"/>
          <w:color w:val="222222"/>
          <w:sz w:val="21"/>
          <w:szCs w:val="21"/>
        </w:rPr>
        <w:t xml:space="preserve">The benefits technology market is dominated by large government IT contractors—Deloitte, Accenture, IBM—that build and maintain state eligibility systems. These firms operate at the state level with multi-year, nine-figure contracts. They build the Gateways of the world. Nobody is building the intake preparation and payment accuracy layer at the county level because individual contract sizes are too small for these firms.</w:t>
      </w:r>
    </w:p>
    <w:p>
      <w:pPr>
        <w:spacing w:after="160" w:line="276"/>
      </w:pPr>
      <w:r>
        <w:rPr>
          <w:rFonts w:ascii="Arial" w:cs="Arial" w:eastAsia="Arial" w:hAnsi="Arial"/>
          <w:color w:val="222222"/>
          <w:sz w:val="21"/>
          <w:szCs w:val="21"/>
        </w:rPr>
        <w:t xml:space="preserve">Cushion operates in the gap between the overwhelmed caseworker and the state’s eligibility system. It is complementary to Gateway, not competitive with it. The value proposition is additive: Gateway processes determinations; Cushion ensures the inputs to those determinations are accurate.</w:t>
      </w:r>
    </w:p>
    <w:p>
      <w:pPr>
        <w:spacing w:after="160" w:line="276"/>
      </w:pPr>
      <w:r>
        <w:rPr>
          <w:rFonts w:ascii="Arial" w:cs="Arial" w:eastAsia="Arial" w:hAnsi="Arial"/>
          <w:color w:val="222222"/>
          <w:sz w:val="21"/>
          <w:szCs w:val="21"/>
        </w:rPr>
        <w:t xml:space="preserve">Code for America and civic technology nonprofits have done valuable work on SNAP access and document upload tools, but they do not offer a commercial, AI-powered intake accuracy product targeting the overpayment error rate. Cushion is purpose-built for payment accuracy, not just access improvement.</w:t>
      </w:r>
    </w:p>
    <w:p>
      <w:pPr>
        <w:pBdr>
          <w:bottom w:val="single" w:color="2E75B6" w:sz="4" w:space="1"/>
        </w:pBdr>
        <w:spacing w:before="200" w:after="200"/>
      </w:pPr>
    </w:p>
    <w:p>
      <w:pPr>
        <w:pStyle w:val="Heading1"/>
        <w:spacing w:before="400" w:after="200"/>
      </w:pPr>
      <w:r>
        <w:rPr>
          <w:rFonts w:ascii="Arial" w:cs="Arial" w:eastAsia="Arial" w:hAnsi="Arial"/>
          <w:b/>
          <w:bCs/>
          <w:color w:val="1B3A5C"/>
          <w:sz w:val="32"/>
          <w:szCs w:val="32"/>
        </w:rPr>
        <w:t xml:space="preserve">10. Regulatory Alignment</w:t>
      </w:r>
    </w:p>
    <w:p>
      <w:pPr>
        <w:spacing w:after="160" w:line="276"/>
      </w:pPr>
      <w:r>
        <w:rPr>
          <w:rFonts w:ascii="Arial" w:cs="Arial" w:eastAsia="Arial" w:hAnsi="Arial"/>
          <w:color w:val="222222"/>
          <w:sz w:val="21"/>
          <w:szCs w:val="21"/>
        </w:rPr>
        <w:t xml:space="preserve">Cushion is designed to align with three concurrent regulatory requirements:</w:t>
      </w:r>
    </w:p>
    <w:p>
      <w:pPr>
        <w:pStyle w:val="ListParagraph"/>
        <w:numPr>
          <w:ilvl w:val="0"/>
          <w:numId w:val="2"/>
        </w:numPr>
        <w:spacing w:after="80" w:line="276"/>
      </w:pPr>
      <w:r>
        <w:rPr>
          <w:rFonts w:ascii="Arial" w:cs="Arial" w:eastAsia="Arial" w:hAnsi="Arial"/>
          <w:b/>
          <w:bCs/>
          <w:color w:val="222222"/>
          <w:sz w:val="21"/>
          <w:szCs w:val="21"/>
        </w:rPr>
        <w:t xml:space="preserve">OBBBA (One Big Beautiful Bill Act): </w:t>
      </w:r>
      <w:r>
        <w:rPr>
          <w:rFonts w:ascii="Arial" w:cs="Arial" w:eastAsia="Arial" w:hAnsi="Arial"/>
          <w:color w:val="222222"/>
          <w:sz w:val="21"/>
          <w:szCs w:val="21"/>
        </w:rPr>
        <w:t xml:space="preserve">Creates the financial urgency. States above 6% error rates must pay 5–15% of benefit costs starting FY2028. Cushion directly reduces overpayment errors that drive Georgia’s rate.</w:t>
      </w:r>
    </w:p>
    <w:p>
      <w:pPr>
        <w:pStyle w:val="ListParagraph"/>
        <w:numPr>
          <w:ilvl w:val="0"/>
          <w:numId w:val="2"/>
        </w:numPr>
        <w:spacing w:after="80" w:line="276"/>
      </w:pPr>
      <w:r>
        <w:rPr>
          <w:rFonts w:ascii="Arial" w:cs="Arial" w:eastAsia="Arial" w:hAnsi="Arial"/>
          <w:b/>
          <w:bCs/>
          <w:color w:val="222222"/>
          <w:sz w:val="21"/>
          <w:szCs w:val="21"/>
        </w:rPr>
        <w:t xml:space="preserve">HB 947 (Georgia SNAP Integrity Act of 2026): </w:t>
      </w:r>
      <w:r>
        <w:rPr>
          <w:rFonts w:ascii="Arial" w:cs="Arial" w:eastAsia="Arial" w:hAnsi="Arial"/>
          <w:color w:val="222222"/>
          <w:sz w:val="21"/>
          <w:szCs w:val="21"/>
        </w:rPr>
        <w:t xml:space="preserve">Mandates pre-authorization accuracy checklists with automated validation, 30-day verification completion, and accelerated recertification. Cushion’s consistency check engine and recertification flow are built to satisfy these requirements.</w:t>
      </w:r>
    </w:p>
    <w:p>
      <w:pPr>
        <w:pStyle w:val="ListParagraph"/>
        <w:numPr>
          <w:ilvl w:val="0"/>
          <w:numId w:val="2"/>
        </w:numPr>
        <w:spacing w:after="80" w:line="276"/>
      </w:pPr>
      <w:r>
        <w:rPr>
          <w:rFonts w:ascii="Arial" w:cs="Arial" w:eastAsia="Arial" w:hAnsi="Arial"/>
          <w:b/>
          <w:bCs/>
          <w:color w:val="222222"/>
          <w:sz w:val="21"/>
          <w:szCs w:val="21"/>
        </w:rPr>
        <w:t xml:space="preserve">USDA Corrective Action Plan: </w:t>
      </w:r>
      <w:r>
        <w:rPr>
          <w:rFonts w:ascii="Arial" w:cs="Arial" w:eastAsia="Arial" w:hAnsi="Arial"/>
          <w:color w:val="222222"/>
          <w:sz w:val="21"/>
          <w:szCs w:val="21"/>
        </w:rPr>
        <w:t xml:space="preserve">Georgia must submit and execute a plan addressing root causes of its error rate. Cushion provides measurable interventions (income accuracy, household composition verification, deduction capture) that map directly to corrective action plan requirements.</w:t>
      </w:r>
    </w:p>
    <w:p>
      <w:pPr>
        <w:pBdr>
          <w:bottom w:val="single" w:color="2E75B6" w:sz="4" w:space="1"/>
        </w:pBdr>
        <w:spacing w:before="200" w:after="200"/>
      </w:pPr>
    </w:p>
    <w:p>
      <w:pPr>
        <w:pStyle w:val="Heading1"/>
        <w:spacing w:before="400" w:after="200"/>
      </w:pPr>
      <w:r>
        <w:rPr>
          <w:rFonts w:ascii="Arial" w:cs="Arial" w:eastAsia="Arial" w:hAnsi="Arial"/>
          <w:b/>
          <w:bCs/>
          <w:color w:val="1B3A5C"/>
          <w:sz w:val="32"/>
          <w:szCs w:val="32"/>
        </w:rPr>
        <w:t xml:space="preserve">11. AI Intelligence Engine: Maximizing Error Rate Reduction</w:t>
      </w:r>
    </w:p>
    <w:p>
      <w:pPr>
        <w:spacing w:after="160" w:line="276"/>
      </w:pPr>
      <w:r>
        <w:rPr>
          <w:rFonts w:ascii="Arial" w:cs="Arial" w:eastAsia="Arial" w:hAnsi="Arial"/>
          <w:color w:val="222222"/>
          <w:sz w:val="21"/>
          <w:szCs w:val="21"/>
        </w:rPr>
        <w:t xml:space="preserve">Cushion’s ability to reduce overpayment errors depends on the sophistication of its question flow, cross-validation logic, and adaptive learning. The AI is not a static form—it is an intelligence engine that gets smarter with every intake processed. The following layers describe how Cushion maximizes accuracy while maintaining a conversational, accessible experience for applicants.</w:t>
      </w:r>
    </w:p>
    <w:p>
      <w:pPr>
        <w:pStyle w:val="Heading2"/>
        <w:spacing w:before="300" w:after="150"/>
      </w:pPr>
      <w:r>
        <w:rPr>
          <w:rFonts w:ascii="Arial" w:cs="Arial" w:eastAsia="Arial" w:hAnsi="Arial"/>
          <w:b/>
          <w:bCs/>
          <w:color w:val="2E75B6"/>
          <w:sz w:val="26"/>
          <w:szCs w:val="26"/>
        </w:rPr>
        <w:t xml:space="preserve">11.1 Decomposed Question Architecture</w:t>
      </w:r>
    </w:p>
    <w:p>
      <w:pPr>
        <w:spacing w:after="160" w:line="276"/>
      </w:pPr>
      <w:r>
        <w:rPr>
          <w:rFonts w:ascii="Arial" w:cs="Arial" w:eastAsia="Arial" w:hAnsi="Arial"/>
          <w:color w:val="222222"/>
          <w:sz w:val="21"/>
          <w:szCs w:val="21"/>
        </w:rPr>
        <w:t xml:space="preserve">Most government forms ask for income as a single number on a single line. That is where errors begin. Cushion decomposes every high-error-rate field into a sequence of smaller, concrete questions that are difficult to answer incorrectly.</w:t>
      </w:r>
    </w:p>
    <w:p>
      <w:pPr>
        <w:spacing w:after="160" w:line="276"/>
      </w:pPr>
      <w:r>
        <w:rPr>
          <w:rFonts w:ascii="Arial" w:cs="Arial" w:eastAsia="Arial" w:hAnsi="Arial"/>
          <w:color w:val="222222"/>
          <w:sz w:val="21"/>
          <w:szCs w:val="21"/>
        </w:rPr>
        <w:t xml:space="preserve">For income, Cushion never asks “what is your monthly income.” Instead, it builds the figure from the bottom up: employer name, pay frequency (weekly, biweekly, semi-monthly, monthly), and gross amount per pay period. Cushion applies the SNAP-specific conversion formula and presents the result for confirmation: “Based on your biweekly pay of $1,147, your monthly income for SNAP purposes is $2,485.15. Does that look right to you?” This confirmation step catches conversion errors at the point of entry.</w:t>
      </w:r>
    </w:p>
    <w:p>
      <w:pPr>
        <w:spacing w:after="160" w:line="276"/>
      </w:pPr>
      <w:r>
        <w:rPr>
          <w:rFonts w:ascii="Arial" w:cs="Arial" w:eastAsia="Arial" w:hAnsi="Arial"/>
          <w:color w:val="222222"/>
          <w:sz w:val="21"/>
          <w:szCs w:val="21"/>
        </w:rPr>
        <w:t xml:space="preserve">The critical follow-up that caseworkers routinely skip under time pressure: “Does anyone else in your household earn any money? Does anyone receive Social Security, SSI, disability payments, unemployment, child support, pension, VA benefits, or any other regular payment?” Each source gets its own sub-flow. Most overpayments from income occur because a secondary income source was never captured—not because the primary one was wrong.</w:t>
      </w:r>
    </w:p>
    <w:p>
      <w:pPr>
        <w:spacing w:after="160" w:line="276"/>
      </w:pPr>
      <w:r>
        <w:rPr>
          <w:rFonts w:ascii="Arial" w:cs="Arial" w:eastAsia="Arial" w:hAnsi="Arial"/>
          <w:color w:val="222222"/>
          <w:sz w:val="21"/>
          <w:szCs w:val="21"/>
        </w:rPr>
        <w:t xml:space="preserve">For self-employment income, the decomposition is even more important. Cushion walks through gross receipts, then expenses category by category (workspace rent, supplies, vehicle costs, inventory, contractor payments), then applies either itemized deductions or the 40% standard deduction—whichever produces the lower countable income—and explains the calculation to the applicant.</w:t>
      </w:r>
    </w:p>
    <w:p>
      <w:pPr>
        <w:pStyle w:val="Heading2"/>
        <w:spacing w:before="300" w:after="150"/>
      </w:pPr>
      <w:r>
        <w:rPr>
          <w:rFonts w:ascii="Arial" w:cs="Arial" w:eastAsia="Arial" w:hAnsi="Arial"/>
          <w:b/>
          <w:bCs/>
          <w:color w:val="2E75B6"/>
          <w:sz w:val="26"/>
          <w:szCs w:val="26"/>
        </w:rPr>
        <w:t xml:space="preserve">11.2 Contextual Cross-Validation</w:t>
      </w:r>
    </w:p>
    <w:p>
      <w:pPr>
        <w:spacing w:after="160" w:line="276"/>
      </w:pPr>
      <w:r>
        <w:rPr>
          <w:rFonts w:ascii="Arial" w:cs="Arial" w:eastAsia="Arial" w:hAnsi="Arial"/>
          <w:color w:val="222222"/>
          <w:sz w:val="21"/>
          <w:szCs w:val="21"/>
        </w:rPr>
        <w:t xml:space="preserve">This is where AI becomes dramatically more effective than a human caseworker. After collecting all data, Cushion runs cross-checks that a caseworker does not have time to perform under caseload pressure.</w:t>
      </w:r>
    </w:p>
    <w:p>
      <w:pPr>
        <w:pStyle w:val="ListParagraph"/>
        <w:numPr>
          <w:ilvl w:val="0"/>
          <w:numId w:val="2"/>
        </w:numPr>
        <w:spacing w:after="80" w:line="276"/>
      </w:pPr>
      <w:r>
        <w:rPr>
          <w:rFonts w:ascii="Arial" w:cs="Arial" w:eastAsia="Arial" w:hAnsi="Arial"/>
          <w:b/>
          <w:bCs/>
          <w:color w:val="222222"/>
          <w:sz w:val="21"/>
          <w:szCs w:val="21"/>
        </w:rPr>
        <w:t xml:space="preserve">Income versus expenses validation: </w:t>
      </w:r>
      <w:r>
        <w:rPr>
          <w:rFonts w:ascii="Arial" w:cs="Arial" w:eastAsia="Arial" w:hAnsi="Arial"/>
          <w:color w:val="222222"/>
          <w:sz w:val="21"/>
          <w:szCs w:val="21"/>
        </w:rPr>
        <w:t xml:space="preserve">If reported income is $800/month but fixed costs (rent, utilities, car payment, phone) total $1,850, the AI does not accuse anyone. It asks: “I want to make sure I have this right—your monthly income is $800 and your monthly expenses add up to about $1,850. Is there any other income helping cover those costs? Sometimes people forget to mention things like help from family, odd jobs, or cash income.”</w:t>
      </w:r>
    </w:p>
    <w:p>
      <w:pPr>
        <w:pStyle w:val="ListParagraph"/>
        <w:numPr>
          <w:ilvl w:val="0"/>
          <w:numId w:val="2"/>
        </w:numPr>
        <w:spacing w:after="80" w:line="276"/>
      </w:pPr>
      <w:r>
        <w:rPr>
          <w:rFonts w:ascii="Arial" w:cs="Arial" w:eastAsia="Arial" w:hAnsi="Arial"/>
          <w:b/>
          <w:bCs/>
          <w:color w:val="222222"/>
          <w:sz w:val="21"/>
          <w:szCs w:val="21"/>
        </w:rPr>
        <w:t xml:space="preserve">Household composition versus income sources: </w:t>
      </w:r>
      <w:r>
        <w:rPr>
          <w:rFonts w:ascii="Arial" w:cs="Arial" w:eastAsia="Arial" w:hAnsi="Arial"/>
          <w:color w:val="222222"/>
          <w:sz w:val="21"/>
          <w:szCs w:val="21"/>
        </w:rPr>
        <w:t xml:space="preserve">If four adults are listed in the household but only one income source is reported, the AI asks about each adult individually: “You mentioned your mother lives with you. Does she receive any income—Social Security, SSI, pension, disability, or any employment income?” Each unreported household member income is a potential overpayment.</w:t>
      </w:r>
    </w:p>
    <w:p>
      <w:pPr>
        <w:pStyle w:val="ListParagraph"/>
        <w:numPr>
          <w:ilvl w:val="0"/>
          <w:numId w:val="2"/>
        </w:numPr>
        <w:spacing w:after="80" w:line="276"/>
      </w:pPr>
      <w:r>
        <w:rPr>
          <w:rFonts w:ascii="Arial" w:cs="Arial" w:eastAsia="Arial" w:hAnsi="Arial"/>
          <w:b/>
          <w:bCs/>
          <w:color w:val="222222"/>
          <w:sz w:val="21"/>
          <w:szCs w:val="21"/>
        </w:rPr>
        <w:t xml:space="preserve">Deduction plausibility checks: </w:t>
      </w:r>
      <w:r>
        <w:rPr>
          <w:rFonts w:ascii="Arial" w:cs="Arial" w:eastAsia="Arial" w:hAnsi="Arial"/>
          <w:color w:val="222222"/>
          <w:sz w:val="21"/>
          <w:szCs w:val="21"/>
        </w:rPr>
        <w:t xml:space="preserve">If child care deductions are claimed but no employment or training is reported, the deduction does not apply under SNAP rules. If shelter costs include both a rent figure that already bundles utilities and a separate utility allowance claim, the AI flags the potential double-count.</w:t>
      </w:r>
    </w:p>
    <w:p>
      <w:pPr>
        <w:pStyle w:val="ListParagraph"/>
        <w:numPr>
          <w:ilvl w:val="0"/>
          <w:numId w:val="2"/>
        </w:numPr>
        <w:spacing w:after="80" w:line="276"/>
      </w:pPr>
      <w:r>
        <w:rPr>
          <w:rFonts w:ascii="Arial" w:cs="Arial" w:eastAsia="Arial" w:hAnsi="Arial"/>
          <w:b/>
          <w:bCs/>
          <w:color w:val="222222"/>
          <w:sz w:val="21"/>
          <w:szCs w:val="21"/>
        </w:rPr>
        <w:t xml:space="preserve">Threshold proximity alerts: </w:t>
      </w:r>
      <w:r>
        <w:rPr>
          <w:rFonts w:ascii="Arial" w:cs="Arial" w:eastAsia="Arial" w:hAnsi="Arial"/>
          <w:color w:val="222222"/>
          <w:sz w:val="21"/>
          <w:szCs w:val="21"/>
        </w:rPr>
        <w:t xml:space="preserve">If reported income places the household within 5% of the eligibility cutoff, the case is marked for heightened verification because small errors in either direction have outsized impact on whether benefits are issued and in what amount.</w:t>
      </w:r>
    </w:p>
    <w:p>
      <w:pPr>
        <w:pStyle w:val="Heading2"/>
        <w:spacing w:before="300" w:after="150"/>
      </w:pPr>
      <w:r>
        <w:rPr>
          <w:rFonts w:ascii="Arial" w:cs="Arial" w:eastAsia="Arial" w:hAnsi="Arial"/>
          <w:b/>
          <w:bCs/>
          <w:color w:val="2E75B6"/>
          <w:sz w:val="26"/>
          <w:szCs w:val="26"/>
        </w:rPr>
        <w:t xml:space="preserve">11.3 Adaptive Risk-Based Questioning</w:t>
      </w:r>
    </w:p>
    <w:p>
      <w:pPr>
        <w:spacing w:after="160" w:line="276"/>
      </w:pPr>
      <w:r>
        <w:rPr>
          <w:rFonts w:ascii="Arial" w:cs="Arial" w:eastAsia="Arial" w:hAnsi="Arial"/>
          <w:color w:val="222222"/>
          <w:sz w:val="21"/>
          <w:szCs w:val="21"/>
        </w:rPr>
        <w:t xml:space="preserve">Not every intake requires the same depth of scrutiny. Cushion dynamically adjusts the number and specificity of questions based on the overpayment risk profile of each case.</w:t>
      </w:r>
    </w:p>
    <w:p>
      <w:pPr>
        <w:pStyle w:val="ListParagraph"/>
        <w:numPr>
          <w:ilvl w:val="0"/>
          <w:numId w:val="2"/>
        </w:numPr>
        <w:spacing w:after="80" w:line="276"/>
      </w:pPr>
      <w:r>
        <w:rPr>
          <w:rFonts w:ascii="Arial" w:cs="Arial" w:eastAsia="Arial" w:hAnsi="Arial"/>
          <w:b/>
          <w:bCs/>
          <w:color w:val="222222"/>
          <w:sz w:val="21"/>
          <w:szCs w:val="21"/>
        </w:rPr>
        <w:t xml:space="preserve">Low-risk profile: </w:t>
      </w:r>
      <w:r>
        <w:rPr>
          <w:rFonts w:ascii="Arial" w:cs="Arial" w:eastAsia="Arial" w:hAnsi="Arial"/>
          <w:color w:val="222222"/>
          <w:sz w:val="21"/>
          <w:szCs w:val="21"/>
        </w:rPr>
        <w:t xml:space="preserve">Single person, one W-2 job, straightforward rent, no dependents. Income calculation is simple, household composition is clear, deductions are minimal. Short flow, fewer follow-ups, green flag to caseworker.</w:t>
      </w:r>
    </w:p>
    <w:p>
      <w:pPr>
        <w:pStyle w:val="ListParagraph"/>
        <w:numPr>
          <w:ilvl w:val="0"/>
          <w:numId w:val="2"/>
        </w:numPr>
        <w:spacing w:after="80" w:line="276"/>
      </w:pPr>
      <w:r>
        <w:rPr>
          <w:rFonts w:ascii="Arial" w:cs="Arial" w:eastAsia="Arial" w:hAnsi="Arial"/>
          <w:b/>
          <w:bCs/>
          <w:color w:val="222222"/>
          <w:sz w:val="21"/>
          <w:szCs w:val="21"/>
        </w:rPr>
        <w:t xml:space="preserve">Medium-risk profile: </w:t>
      </w:r>
      <w:r>
        <w:rPr>
          <w:rFonts w:ascii="Arial" w:cs="Arial" w:eastAsia="Arial" w:hAnsi="Arial"/>
          <w:color w:val="222222"/>
          <w:sz w:val="21"/>
          <w:szCs w:val="21"/>
        </w:rPr>
        <w:t xml:space="preserve">Household of three, multiple income sources, child care deduction, shelter costs near the excess shelter threshold. Cushion adds clarifying questions on each income source, verifies child care is tied to qualifying activity, and double-checks the utility situation.</w:t>
      </w:r>
    </w:p>
    <w:p>
      <w:pPr>
        <w:pStyle w:val="ListParagraph"/>
        <w:numPr>
          <w:ilvl w:val="0"/>
          <w:numId w:val="2"/>
        </w:numPr>
        <w:spacing w:after="80" w:line="276"/>
      </w:pPr>
      <w:r>
        <w:rPr>
          <w:rFonts w:ascii="Arial" w:cs="Arial" w:eastAsia="Arial" w:hAnsi="Arial"/>
          <w:b/>
          <w:bCs/>
          <w:color w:val="222222"/>
          <w:sz w:val="21"/>
          <w:szCs w:val="21"/>
        </w:rPr>
        <w:t xml:space="preserve">High-risk profile: </w:t>
      </w:r>
      <w:r>
        <w:rPr>
          <w:rFonts w:ascii="Arial" w:cs="Arial" w:eastAsia="Arial" w:hAnsi="Arial"/>
          <w:color w:val="222222"/>
          <w:sz w:val="21"/>
          <w:szCs w:val="21"/>
        </w:rPr>
        <w:t xml:space="preserve">Self-employment income, large household with multiple adults, income near the eligibility threshold, unusually high claimed deductions. Cushion goes deep—asks for multiple months of business income to establish a pattern, individually verifies each adult’s income status, confirms the specific utility bills to determine the correct standard utility allowance, and runs every consistency check.</w:t>
      </w:r>
    </w:p>
    <w:p>
      <w:pPr>
        <w:spacing w:after="160" w:line="276"/>
      </w:pPr>
      <w:r>
        <w:rPr>
          <w:rFonts w:ascii="Arial" w:cs="Arial" w:eastAsia="Arial" w:hAnsi="Arial"/>
          <w:color w:val="222222"/>
          <w:sz w:val="21"/>
          <w:szCs w:val="21"/>
        </w:rPr>
        <w:t xml:space="preserve">Risk scoring combines static factors (household size, income type, threshold proximity) with learned patterns developed over time from aggregate outcome data. The system prompt encodes the static rules from day one; the learned patterns compound with each month of deployment.</w:t>
      </w:r>
    </w:p>
    <w:p>
      <w:pPr>
        <w:pStyle w:val="Heading2"/>
        <w:spacing w:before="300" w:after="150"/>
      </w:pPr>
      <w:r>
        <w:rPr>
          <w:rFonts w:ascii="Arial" w:cs="Arial" w:eastAsia="Arial" w:hAnsi="Arial"/>
          <w:b/>
          <w:bCs/>
          <w:color w:val="2E75B6"/>
          <w:sz w:val="26"/>
          <w:szCs w:val="26"/>
        </w:rPr>
        <w:t xml:space="preserve">11.4 Applicant Confirmation Loop</w:t>
      </w:r>
    </w:p>
    <w:p>
      <w:pPr>
        <w:spacing w:after="160" w:line="276"/>
      </w:pPr>
      <w:r>
        <w:rPr>
          <w:rFonts w:ascii="Arial" w:cs="Arial" w:eastAsia="Arial" w:hAnsi="Arial"/>
          <w:color w:val="222222"/>
          <w:sz w:val="21"/>
          <w:szCs w:val="21"/>
        </w:rPr>
        <w:t xml:space="preserve">After all data is collected and cross-validated, Cushion presents a structured summary to the applicant before generating the caseworker packet: household members and their relationship, each income source with the SNAP-calculated monthly amount, total household monthly income, each deduction with the calculated amount, and the resulting net income figure. The applicant reviews and confirms or corrects each line.</w:t>
      </w:r>
    </w:p>
    <w:p>
      <w:pPr>
        <w:spacing w:after="160" w:line="276"/>
      </w:pPr>
      <w:r>
        <w:rPr>
          <w:rFonts w:ascii="Arial" w:cs="Arial" w:eastAsia="Arial" w:hAnsi="Arial"/>
          <w:color w:val="222222"/>
          <w:sz w:val="21"/>
          <w:szCs w:val="21"/>
        </w:rPr>
        <w:t xml:space="preserve">This step catches errors that the applicant themselves would recognize if presented with the data clearly. Someone who said “$2,400 a month” meaning their biweekly paycheck is $1,200 will see “$2,600/month” from the SNAP conversion and either confirm it or flag the discrepancy. The number is now validated by the person who knows their own finances.</w:t>
      </w:r>
    </w:p>
    <w:p>
      <w:pPr>
        <w:pStyle w:val="Heading2"/>
        <w:spacing w:before="300" w:after="150"/>
      </w:pPr>
      <w:r>
        <w:rPr>
          <w:rFonts w:ascii="Arial" w:cs="Arial" w:eastAsia="Arial" w:hAnsi="Arial"/>
          <w:b/>
          <w:bCs/>
          <w:color w:val="2E75B6"/>
          <w:sz w:val="26"/>
          <w:szCs w:val="26"/>
        </w:rPr>
        <w:t xml:space="preserve">11.5 Living Policy Engine</w:t>
      </w:r>
    </w:p>
    <w:p>
      <w:pPr>
        <w:spacing w:after="160" w:line="276"/>
      </w:pPr>
      <w:r>
        <w:rPr>
          <w:rFonts w:ascii="Arial" w:cs="Arial" w:eastAsia="Arial" w:hAnsi="Arial"/>
          <w:color w:val="222222"/>
          <w:sz w:val="21"/>
          <w:szCs w:val="21"/>
        </w:rPr>
        <w:t xml:space="preserve">The AI’s accuracy depends on the quality of the eligibility rules encoded in its system prompt. Georgia’s PAMMS manual is updated regularly. Income thresholds change annually on October 1. Deduction amounts change. The excess shelter cap changes. HB 947 is introducing new rules. Cushion treats the system prompt as a maintained product with a monthly review process that maps PAMMS updates to prompt changes. For multi-state deployment, each state’s policy manual receives the same treatment, ensuring the AI always applies current rules.</w:t>
      </w:r>
    </w:p>
    <w:p>
      <w:pPr>
        <w:spacing w:after="160" w:line="276"/>
      </w:pPr>
      <w:r>
        <w:rPr>
          <w:rFonts w:ascii="Arial" w:cs="Arial" w:eastAsia="Arial" w:hAnsi="Arial"/>
          <w:color w:val="222222"/>
          <w:sz w:val="21"/>
          <w:szCs w:val="21"/>
        </w:rPr>
        <w:t xml:space="preserve">The system prompt encodes SNAP-specific calculation methodologies precisely: conversion formulas, deduction order of operations, the interaction between gross income test and net income test, special rules for elderly/disabled households, and expedited screening criteria. If the AI applies these correctly during intake, the data entering Gateway is pre-calculated to SNAP specifications rather than raw numbers the caseworker must process manually.</w:t>
      </w:r>
    </w:p>
    <w:p>
      <w:pPr>
        <w:pStyle w:val="Heading2"/>
        <w:spacing w:before="300" w:after="150"/>
      </w:pPr>
      <w:r>
        <w:rPr>
          <w:rFonts w:ascii="Arial" w:cs="Arial" w:eastAsia="Arial" w:hAnsi="Arial"/>
          <w:b/>
          <w:bCs/>
          <w:color w:val="2E75B6"/>
          <w:sz w:val="26"/>
          <w:szCs w:val="26"/>
        </w:rPr>
        <w:t xml:space="preserve">11.6 Continuous Learning from Outcomes</w:t>
      </w:r>
    </w:p>
    <w:p>
      <w:pPr>
        <w:spacing w:after="160" w:line="276"/>
      </w:pPr>
      <w:r>
        <w:rPr>
          <w:rFonts w:ascii="Arial" w:cs="Arial" w:eastAsia="Arial" w:hAnsi="Arial"/>
          <w:color w:val="222222"/>
          <w:sz w:val="21"/>
          <w:szCs w:val="21"/>
        </w:rPr>
        <w:t xml:space="preserve">Cushion’s long-term competitive moat is its feedback loop. Three data channels drive continuous improvement:</w:t>
      </w:r>
    </w:p>
    <w:p>
      <w:pPr>
        <w:pStyle w:val="ListParagraph"/>
        <w:numPr>
          <w:ilvl w:val="0"/>
          <w:numId w:val="2"/>
        </w:numPr>
        <w:spacing w:after="80" w:line="276"/>
      </w:pPr>
      <w:r>
        <w:rPr>
          <w:rFonts w:ascii="Arial" w:cs="Arial" w:eastAsia="Arial" w:hAnsi="Arial"/>
          <w:b/>
          <w:bCs/>
          <w:color w:val="222222"/>
          <w:sz w:val="21"/>
          <w:szCs w:val="21"/>
        </w:rPr>
        <w:t xml:space="preserve">QC outcome correlation: </w:t>
      </w:r>
      <w:r>
        <w:rPr>
          <w:rFonts w:ascii="Arial" w:cs="Arial" w:eastAsia="Arial" w:hAnsi="Arial"/>
          <w:color w:val="222222"/>
          <w:sz w:val="21"/>
          <w:szCs w:val="21"/>
        </w:rPr>
        <w:t xml:space="preserve">If the state or county shares anonymized QC review outcomes—which cases were flagged as errors and what type—Cushion correlates those outcomes with intake patterns. Did cases where income was near the threshold produce more errors? Did households with a specific deduction profile get flagged? Which question flows produced the most accurate results? Over 6–12 months, the AI’s questioning becomes optimized for Georgia’s specific error patterns.</w:t>
      </w:r>
    </w:p>
    <w:p>
      <w:pPr>
        <w:pStyle w:val="ListParagraph"/>
        <w:numPr>
          <w:ilvl w:val="0"/>
          <w:numId w:val="2"/>
        </w:numPr>
        <w:spacing w:after="80" w:line="276"/>
      </w:pPr>
      <w:r>
        <w:rPr>
          <w:rFonts w:ascii="Arial" w:cs="Arial" w:eastAsia="Arial" w:hAnsi="Arial"/>
          <w:b/>
          <w:bCs/>
          <w:color w:val="222222"/>
          <w:sz w:val="21"/>
          <w:szCs w:val="21"/>
        </w:rPr>
        <w:t xml:space="preserve">Caseworker correction feedback: </w:t>
      </w:r>
      <w:r>
        <w:rPr>
          <w:rFonts w:ascii="Arial" w:cs="Arial" w:eastAsia="Arial" w:hAnsi="Arial"/>
          <w:color w:val="222222"/>
          <w:sz w:val="21"/>
          <w:szCs w:val="21"/>
        </w:rPr>
        <w:t xml:space="preserve">After each interview, the caseworker has a one-click feedback option: “Did Cushion’s intake packet contain any inaccuracies you corrected?” If yes, they tag what was wrong—income, household composition, deduction, or other. Over thousands of intakes, this builds a correction rate dashboard showing exactly where the question flow needs improvement.</w:t>
      </w:r>
    </w:p>
    <w:p>
      <w:pPr>
        <w:pStyle w:val="ListParagraph"/>
        <w:numPr>
          <w:ilvl w:val="0"/>
          <w:numId w:val="2"/>
        </w:numPr>
        <w:spacing w:after="80" w:line="276"/>
      </w:pPr>
      <w:r>
        <w:rPr>
          <w:rFonts w:ascii="Arial" w:cs="Arial" w:eastAsia="Arial" w:hAnsi="Arial"/>
          <w:b/>
          <w:bCs/>
          <w:color w:val="222222"/>
          <w:sz w:val="21"/>
          <w:szCs w:val="21"/>
        </w:rPr>
        <w:t xml:space="preserve">Aggregate pattern analysis: </w:t>
      </w:r>
      <w:r>
        <w:rPr>
          <w:rFonts w:ascii="Arial" w:cs="Arial" w:eastAsia="Arial" w:hAnsi="Arial"/>
          <w:color w:val="222222"/>
          <w:sz w:val="21"/>
          <w:szCs w:val="21"/>
        </w:rPr>
        <w:t xml:space="preserve">As Cushion processes thousands of intakes, it identifies which household profiles, income types, and geographic areas most frequently produce errors. If self-employment households in certain zip codes consistently underreport by 15–20%, the AI adds extra verification prompts for that profile. If single-parent households frequently miss reporting child support income, that question becomes more prominent in the flow.</w:t>
      </w:r>
    </w:p>
    <w:p>
      <w:pPr>
        <w:spacing w:after="160" w:line="276"/>
      </w:pPr>
      <w:r>
        <w:rPr>
          <w:rFonts w:ascii="Arial" w:cs="Arial" w:eastAsia="Arial" w:hAnsi="Arial"/>
          <w:color w:val="222222"/>
          <w:sz w:val="21"/>
          <w:szCs w:val="21"/>
        </w:rPr>
        <w:t xml:space="preserve">This compounding intelligence is the moat. A competitor can build an intake tool. They cannot replicate 12 months of Georgia-specific error pattern learning. When Cushion expands to Florida, it starts with Georgia’s learnings as a baseline and then tunes for Florida’s unique patterns.</w:t>
      </w:r>
    </w:p>
    <w:p>
      <w:pPr>
        <w:pStyle w:val="Heading2"/>
        <w:spacing w:before="300" w:after="150"/>
      </w:pPr>
      <w:r>
        <w:rPr>
          <w:rFonts w:ascii="Arial" w:cs="Arial" w:eastAsia="Arial" w:hAnsi="Arial"/>
          <w:b/>
          <w:bCs/>
          <w:color w:val="2E75B6"/>
          <w:sz w:val="26"/>
          <w:szCs w:val="26"/>
        </w:rPr>
        <w:t xml:space="preserve">11.7 Error Rate Impact Model</w:t>
      </w:r>
    </w:p>
    <w:p>
      <w:pPr>
        <w:spacing w:after="160" w:line="276"/>
      </w:pPr>
      <w:r>
        <w:rPr>
          <w:rFonts w:ascii="Arial" w:cs="Arial" w:eastAsia="Arial" w:hAnsi="Arial"/>
          <w:color w:val="222222"/>
          <w:sz w:val="21"/>
          <w:szCs w:val="21"/>
        </w:rPr>
        <w:t xml:space="preserve">Each layer of the AI intelligence engine targets a specific component of overpayment errors: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AI Layer</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Error Type Targeted</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Decomposed questions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Income miscalculation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Eliminates applicant math errors through structured collection and automatic conversion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Cross-validation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Unreported income, inflated deductions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Flags inconsistencies between income, expenses, and household data before caseworker review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Adaptive risk scoring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High-risk case underscrutiny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Ensures complex cases receive proportionally deeper questioning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Confirmation loop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All data entry errors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Applicant self-corrects misreported figures when presented clearly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Living policy engine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Outdated eligibility rules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Ensures calculations always reflect current SNAP thresholds and formulas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Outcome learning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Systemic error patterns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Continuously tunes question flow based on which profiles produce the most errors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Caseworker feedback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Question flow gaps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Real-time signal identifies where AI questioning falls short</w:t>
            </w:r>
          </w:p>
        </w:tc>
      </w:tr>
    </w:tbl>
    <w:p>
      <w:pPr>
        <w:spacing w:after="80"/>
      </w:pPr>
    </w:p>
    <w:p>
      <w:pPr>
        <w:spacing w:after="160" w:line="276"/>
      </w:pPr>
      <w:r>
        <w:rPr>
          <w:rFonts w:ascii="Arial" w:cs="Arial" w:eastAsia="Arial" w:hAnsi="Arial"/>
          <w:color w:val="222222"/>
          <w:sz w:val="21"/>
          <w:szCs w:val="21"/>
        </w:rPr>
        <w:t xml:space="preserve">Collectively, these layers create a system that is more thorough and more accurate than a caseworker operating under time pressure—not because the caseworker lacks knowledge, but because the caseworker lacks the time and cognitive bandwidth to apply that knowledge consistently across 20+ intakes per day. Cushion applies the same rigor to every case, every time.</w:t>
      </w:r>
    </w:p>
    <w:p>
      <w:pPr>
        <w:pBdr>
          <w:bottom w:val="single" w:color="2E75B6" w:sz="4" w:space="1"/>
        </w:pBdr>
        <w:spacing w:before="200" w:after="200"/>
      </w:pPr>
    </w:p>
    <w:p>
      <w:pPr>
        <w:pStyle w:val="Heading1"/>
        <w:spacing w:before="400" w:after="200"/>
      </w:pPr>
      <w:r>
        <w:rPr>
          <w:rFonts w:ascii="Arial" w:cs="Arial" w:eastAsia="Arial" w:hAnsi="Arial"/>
          <w:b/>
          <w:bCs/>
          <w:color w:val="1B3A5C"/>
          <w:sz w:val="32"/>
          <w:szCs w:val="32"/>
        </w:rPr>
        <w:t xml:space="preserve">12. National Market Opportunity</w:t>
      </w:r>
    </w:p>
    <w:p>
      <w:pPr>
        <w:spacing w:after="160" w:line="276"/>
      </w:pPr>
      <w:r>
        <w:rPr>
          <w:rFonts w:ascii="Arial" w:cs="Arial" w:eastAsia="Arial" w:hAnsi="Arial"/>
          <w:color w:val="222222"/>
          <w:sz w:val="21"/>
          <w:szCs w:val="21"/>
        </w:rPr>
        <w:t xml:space="preserve">The OBBBA penalty structure creates identical urgency across 44 states. Georgia is the first target, but the national addressable market is orders of magnitude larger.</w:t>
      </w:r>
    </w:p>
    <w:p>
      <w:pPr>
        <w:pStyle w:val="Heading2"/>
        <w:spacing w:before="300" w:after="150"/>
      </w:pPr>
      <w:r>
        <w:rPr>
          <w:rFonts w:ascii="Arial" w:cs="Arial" w:eastAsia="Arial" w:hAnsi="Arial"/>
          <w:b/>
          <w:bCs/>
          <w:color w:val="2E75B6"/>
          <w:sz w:val="26"/>
          <w:szCs w:val="26"/>
        </w:rPr>
        <w:t xml:space="preserve">12.1 Scale of the National Problem</w:t>
      </w:r>
    </w:p>
    <w:p>
      <w:pPr>
        <w:spacing w:after="160" w:line="276"/>
      </w:pPr>
      <w:r>
        <w:rPr>
          <w:rFonts w:ascii="Arial" w:cs="Arial" w:eastAsia="Arial" w:hAnsi="Arial"/>
          <w:color w:val="222222"/>
          <w:sz w:val="21"/>
          <w:szCs w:val="21"/>
        </w:rPr>
        <w:t xml:space="preserve">Forty-four states have SNAP error rates above the 6% OBBBA threshold. Twenty-seven states face projected annual cost shifts exceeding $100 million. The collective fiscal exposure across all states averages $218 million per state annually, with the total reaching tens of billions. Every state is simultaneously confronting the same problem: how to reduce error rates before FY2028 penalties take effect, while simultaneously absorbing a 25-percentage-point increase in administrative cost share.</w:t>
      </w:r>
    </w:p>
    <w:p>
      <w:pPr>
        <w:pStyle w:val="Heading2"/>
        <w:spacing w:before="300" w:after="150"/>
      </w:pPr>
      <w:r>
        <w:rPr>
          <w:rFonts w:ascii="Arial" w:cs="Arial" w:eastAsia="Arial" w:hAnsi="Arial"/>
          <w:b/>
          <w:bCs/>
          <w:color w:val="2E75B6"/>
          <w:sz w:val="26"/>
          <w:szCs w:val="26"/>
        </w:rPr>
        <w:t xml:space="preserve">12.2 Priority Expansion Targets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35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Error Rate (FY2024)</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Est. Annual Exposure</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 / Budget Activity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Florida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15.13%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~$991 million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Agency targeting &lt;6% by 2027; testified before House budget panel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California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~$1.8 billion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Largest dollar exposure nationally; facing revenue pressure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Illinois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~11%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~$935 million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Second-largest dollar exposure; scrambling to reduce errors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New York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~14%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~$800+ million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High error rate; substantial fiscal pressure documented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Texas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8.32%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~$730 million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Opted out of Summer EBT citing SNAP cost concerns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Arizona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8.84%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~$80+ million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Legislature passed error reduction bill (vetoed by governor)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New Jersey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~14%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~$300+ million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High rate; eligible for delayed implementation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Massachusetts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~14%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~$250+ million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High rate; eligible for delayed implementation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Missouri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~$150+ million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Requesting $33M for technology upgrades for eligibility checks</w:t>
            </w:r>
          </w:p>
        </w:tc>
      </w:tr>
    </w:tbl>
    <w:p>
      <w:pPr>
        <w:spacing w:after="80"/>
      </w:pPr>
    </w:p>
    <w:p>
      <w:pPr>
        <w:pStyle w:val="Heading2"/>
        <w:spacing w:before="300" w:after="150"/>
      </w:pPr>
      <w:r>
        <w:rPr>
          <w:rFonts w:ascii="Arial" w:cs="Arial" w:eastAsia="Arial" w:hAnsi="Arial"/>
          <w:b/>
          <w:bCs/>
          <w:color w:val="2E75B6"/>
          <w:sz w:val="26"/>
          <w:szCs w:val="26"/>
        </w:rPr>
        <w:t xml:space="preserve">12.3 Why No State Has Solved This Yet</w:t>
      </w:r>
    </w:p>
    <w:p>
      <w:pPr>
        <w:spacing w:after="160" w:line="276"/>
      </w:pPr>
      <w:r>
        <w:rPr>
          <w:rFonts w:ascii="Arial" w:cs="Arial" w:eastAsia="Arial" w:hAnsi="Arial"/>
          <w:color w:val="222222"/>
          <w:sz w:val="21"/>
          <w:szCs w:val="21"/>
        </w:rPr>
        <w:t xml:space="preserve">States are responding to the crisis through three channels: hiring additional caseworkers (Georgia’s 319 new positions), passing legislation mandating lower error rates (Arizona’s HB 2206), and testifying before budget committees about aspirational targets (Florida). None have deployed an AI-powered intake accuracy tool that directly addresses the root causes of overpayment errors at the point of data collection.</w:t>
      </w:r>
    </w:p>
    <w:p>
      <w:pPr>
        <w:spacing w:after="160" w:line="276"/>
      </w:pPr>
      <w:r>
        <w:rPr>
          <w:rFonts w:ascii="Arial" w:cs="Arial" w:eastAsia="Arial" w:hAnsi="Arial"/>
          <w:color w:val="222222"/>
          <w:sz w:val="21"/>
          <w:szCs w:val="21"/>
        </w:rPr>
        <w:t xml:space="preserve">The large government IT contractors—Deloitte, Accenture, IBM—build and maintain the eligibility determination systems (the Gateways), but their contract structures and price points make it impractical for them to address the intake preparation layer. Their solutions operate at nine-figure contract scales; the intake accuracy problem requires a nimble, purpose-built tool that can be deployed county-by-county or state-by-state at a fraction of that cost.</w:t>
      </w:r>
    </w:p>
    <w:p>
      <w:pPr>
        <w:spacing w:after="160" w:line="276"/>
      </w:pPr>
      <w:r>
        <w:rPr>
          <w:rFonts w:ascii="Arial" w:cs="Arial" w:eastAsia="Arial" w:hAnsi="Arial"/>
          <w:color w:val="222222"/>
          <w:sz w:val="21"/>
          <w:szCs w:val="21"/>
        </w:rPr>
        <w:t xml:space="preserve">This creates a window for Cushion. The urgency is universal, the budgets are being allocated, and the gap between “we need technology to reduce errors” and “here is a deployed technology that reduces errors” remains unfilled in every state. Georgia pilot data demonstrating measurable error rate reduction becomes the sales asset for every subsequent state engagement.</w:t>
      </w:r>
    </w:p>
    <w:p>
      <w:pPr>
        <w:pStyle w:val="Heading2"/>
        <w:spacing w:before="300" w:after="150"/>
      </w:pPr>
      <w:r>
        <w:rPr>
          <w:rFonts w:ascii="Arial" w:cs="Arial" w:eastAsia="Arial" w:hAnsi="Arial"/>
          <w:b/>
          <w:bCs/>
          <w:color w:val="2E75B6"/>
          <w:sz w:val="26"/>
          <w:szCs w:val="26"/>
        </w:rPr>
        <w:t xml:space="preserve">12.4 National Revenue Potential</w:t>
      </w:r>
    </w:p>
    <w:p>
      <w:pPr>
        <w:spacing w:after="160" w:line="276"/>
      </w:pPr>
      <w:r>
        <w:rPr>
          <w:rFonts w:ascii="Arial" w:cs="Arial" w:eastAsia="Arial" w:hAnsi="Arial"/>
          <w:color w:val="222222"/>
          <w:sz w:val="21"/>
          <w:szCs w:val="21"/>
        </w:rPr>
        <w:t xml:space="preserve">If Cushion captures even a small share of the national SNAP intake accuracy market, the revenue trajectory is significant: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800"/>
        <w:gridCol w:w="2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States</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Est. Combined Monthly Intakes</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Annual Revenue at $10/intake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Georgia only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55,000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$6.6 million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Georgia + Florida + Texas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250,000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$30 million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Top 10 high-error states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10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600,000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$72 million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National (44 states above 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44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2,000,000+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$240+ million</w:t>
            </w:r>
          </w:p>
        </w:tc>
      </w:tr>
    </w:tbl>
    <w:p>
      <w:pPr>
        <w:spacing w:after="80"/>
      </w:pPr>
    </w:p>
    <w:p>
      <w:pPr>
        <w:spacing w:after="160" w:line="276"/>
      </w:pPr>
      <w:r>
        <w:rPr>
          <w:rFonts w:ascii="Arial" w:cs="Arial" w:eastAsia="Arial" w:hAnsi="Arial"/>
          <w:color w:val="222222"/>
          <w:sz w:val="21"/>
          <w:szCs w:val="21"/>
        </w:rPr>
        <w:t xml:space="preserve">These figures represent the addressable market at current pricing. Actual capture rate depends on sales velocity, state procurement cycles, and competitive dynamics. However, the combination of universal urgency (every state faces penalties), allocated budgets (states are actively funding error reduction), and an unfilled technology gap positions Cushion to capture meaningful market share within 2–3 years of the Georgia pilot.</w:t>
      </w:r>
    </w:p>
    <w:p>
      <w:pPr>
        <w:pBdr>
          <w:bottom w:val="single" w:color="2E75B6" w:sz="4" w:space="1"/>
        </w:pBdr>
        <w:spacing w:before="200" w:after="200"/>
      </w:pPr>
    </w:p>
    <w:p>
      <w:pPr>
        <w:pStyle w:val="Heading1"/>
        <w:spacing w:before="400" w:after="200"/>
      </w:pPr>
      <w:r>
        <w:rPr>
          <w:rFonts w:ascii="Arial" w:cs="Arial" w:eastAsia="Arial" w:hAnsi="Arial"/>
          <w:b/>
          <w:bCs/>
          <w:color w:val="1B3A5C"/>
          <w:sz w:val="32"/>
          <w:szCs w:val="32"/>
        </w:rPr>
        <w:t xml:space="preserve">13. Summary</w:t>
      </w:r>
    </w:p>
    <w:p>
      <w:pPr>
        <w:spacing w:after="160" w:line="276"/>
      </w:pPr>
      <w:r>
        <w:rPr>
          <w:rFonts w:ascii="Arial" w:cs="Arial" w:eastAsia="Arial" w:hAnsi="Arial"/>
          <w:color w:val="222222"/>
          <w:sz w:val="21"/>
          <w:szCs w:val="21"/>
        </w:rPr>
        <w:t xml:space="preserve">Georgia faces a convergence of federal penalties, legislative mandates, and operational crises in its SNAP program. The state has budgeted over $29 million across FY2026–2027 for error rate reduction and Gateway improvements. Cushion directly addresses the primary driver of Georgia’s 15.65% error rate—inaccurate data at the intake stage—through an AI-powered tool that ensures income accuracy, household composition correctness, and deduction completeness before information enters Georgia Gateway.</w:t>
      </w:r>
    </w:p>
    <w:p>
      <w:pPr>
        <w:spacing w:after="160" w:line="276"/>
      </w:pPr>
      <w:r>
        <w:rPr>
          <w:rFonts w:ascii="Arial" w:cs="Arial" w:eastAsia="Arial" w:hAnsi="Arial"/>
          <w:color w:val="222222"/>
          <w:sz w:val="21"/>
          <w:szCs w:val="21"/>
        </w:rPr>
        <w:t xml:space="preserve">At $6.6 million annually for full statewide deployment against $162–$487 million in penalty exposure, Cushion offers an asymmetric return on investment. The technology is proven, the unit economics are strong (95%+ gross margins), and the product aligns with Governor Kemp’s stated budget priorities, HB 947’s mandated requirements, and USDA’s corrective action framework.</w:t>
      </w:r>
    </w:p>
    <w:p>
      <w:pPr>
        <w:spacing w:after="160" w:line="276"/>
      </w:pPr>
      <w:r>
        <w:rPr>
          <w:rFonts w:ascii="Arial" w:cs="Arial" w:eastAsia="Arial" w:hAnsi="Arial"/>
          <w:color w:val="222222"/>
          <w:sz w:val="21"/>
          <w:szCs w:val="21"/>
        </w:rPr>
        <w:t xml:space="preserve">The immediate next step is a 90-day pilot at DeKalb County DFCS—Georgia’s largest and most strained county office—to generate the performance data that supports statewide deployment.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space="1"/>
      </w:pBdr>
      <w:jc w:val="center"/>
    </w:pPr>
    <w:r>
      <w:rPr>
        <w:rFonts w:ascii="Arial" w:cs="Arial" w:eastAsia="Arial" w:hAnsi="Arial"/>
        <w:color w:val="666666"/>
        <w:sz w:val="16"/>
        <w:szCs w:val="16"/>
      </w:rPr>
      <w:t xml:space="preserve">Confidential  |  Cushion Benefits, LLC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1"/>
      </w:pBdr>
      <w:jc w:val="right"/>
    </w:pPr>
    <w:r>
      <w:rPr>
        <w:rFonts w:ascii="Arial" w:cs="Arial" w:eastAsia="Arial" w:hAnsi="Arial"/>
        <w:i/>
        <w:iCs/>
        <w:color w:val="666666"/>
        <w:sz w:val="16"/>
        <w:szCs w:val="16"/>
      </w:rPr>
      <w:t xml:space="preserve">Cushion  |  SNAP Payment Accuracy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2026-03-31T13:56:09.497Z</dcterms:created>
  <dcterms:modified xsi:type="dcterms:W3CDTF">2026-03-31T13:56:09.498Z</dcterms:modified>
</cp:coreProperties>
</file>

<file path=docProps/custom.xml><?xml version="1.0" encoding="utf-8"?>
<Properties xmlns="http://schemas.openxmlformats.org/officeDocument/2006/custom-properties" xmlns:vt="http://schemas.openxmlformats.org/officeDocument/2006/docPropsVTypes"/>
</file>