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A7A"/>
          <w:sz w:val="44"/>
          <w:szCs w:val="44"/>
        </w:rPr>
        <w:t xml:space="preserve">Анализ ассортимента — «Простоквашино»</w:t>
      </w:r>
    </w:p>
    <w:p>
      <w:pPr>
        <w:spacing w:after="80"/>
        <w:jc w:val="center"/>
      </w:pPr>
      <w:r>
        <w:drawing>
          <wp:inline distT="0" distB="0" distL="0" distR="0">
            <wp:extent cx="683895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00"/>
        <w:gridCol w:w="1900"/>
        <w:gridCol w:w="2100"/>
        <w:gridCol w:w="5350"/>
      </w:tblGrid>
      <w:tr>
        <w:trPr>
          <w:tblHeader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F7BD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F7BD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F7BD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F7BD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Подзаголовок</w:t>
            </w:r>
          </w:p>
        </w:tc>
        <w:tc>
          <w:tcPr>
            <w:tcW w:type="dxa" w:w="5350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4"/>
            </w:tcBorders>
            <w:shd w:fill="3F7BD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 по ассортименту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00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F5FB0"/>
                <w:sz w:val="30"/>
                <w:szCs w:val="30"/>
              </w:rPr>
              <w:t xml:space="preserve">1</w:t>
            </w:r>
          </w:p>
        </w:tc>
        <w:tc>
          <w:tcPr>
            <w:tcW w:type="dxa" w:w="1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F5FB0"/>
                <w:sz w:val="28"/>
                <w:szCs w:val="28"/>
              </w:rPr>
              <w:t xml:space="preserve">Ширина</w:t>
            </w:r>
          </w:p>
        </w:tc>
        <w:tc>
          <w:tcPr>
            <w:tcW w:type="dxa" w:w="21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Количество товарных линий</w:t>
            </w:r>
          </w:p>
        </w:tc>
        <w:tc>
          <w:tcPr>
            <w:tcW w:type="dxa" w:w="535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В ассортименте представлено 9 товарных линий: молоко, кефир, ряженка, творог, йогурты, сметана, масло, сгущённое молоко, мороженое.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Ширина достаточная для покрытия основных потребностей в молочной категории.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00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30"/>
                <w:szCs w:val="30"/>
              </w:rPr>
              <w:t xml:space="preserve">2</w:t>
            </w:r>
          </w:p>
        </w:tc>
        <w:tc>
          <w:tcPr>
            <w:tcW w:type="dxa" w:w="1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Глубина</w:t>
            </w:r>
          </w:p>
        </w:tc>
        <w:tc>
          <w:tcPr>
            <w:tcW w:type="dxa" w:w="21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Количество позиций в каждой товарной линии</w:t>
            </w:r>
          </w:p>
        </w:tc>
        <w:tc>
          <w:tcPr>
            <w:tcW w:type="dxa" w:w="535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Общее количество SKU (позиций) — 84.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Наибольшая глубина в линии молока (18 SKU) и йогуртов (16 SKU).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Оптимальная глубина в остальных линиях — от 6 до 12 SKU.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00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07A10"/>
                <w:sz w:val="30"/>
                <w:szCs w:val="30"/>
              </w:rPr>
              <w:t xml:space="preserve">3</w:t>
            </w:r>
          </w:p>
        </w:tc>
        <w:tc>
          <w:tcPr>
            <w:tcW w:type="dxa" w:w="1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07A10"/>
                <w:sz w:val="28"/>
                <w:szCs w:val="28"/>
              </w:rPr>
              <w:t xml:space="preserve">Полнота</w:t>
            </w:r>
          </w:p>
        </w:tc>
        <w:tc>
          <w:tcPr>
            <w:tcW w:type="dxa" w:w="21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Способность удовлетворять все потребности</w:t>
            </w:r>
          </w:p>
        </w:tc>
        <w:tc>
          <w:tcPr>
            <w:tcW w:type="dxa" w:w="535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Ассортимент охватывает ключевые потребности покупателей: базовые молочные продукты, продукты для здорового питания, детское питание, десерты.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Имеются позиции с различной жирностью и объёмами упаковки.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00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5E35B1"/>
                <w:sz w:val="30"/>
                <w:szCs w:val="30"/>
              </w:rPr>
              <w:t xml:space="preserve">4</w:t>
            </w:r>
          </w:p>
        </w:tc>
        <w:tc>
          <w:tcPr>
            <w:tcW w:type="dxa" w:w="1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E35B1"/>
                <w:sz w:val="28"/>
                <w:szCs w:val="28"/>
              </w:rPr>
              <w:t xml:space="preserve">Устойчивость</w:t>
            </w:r>
          </w:p>
        </w:tc>
        <w:tc>
          <w:tcPr>
            <w:tcW w:type="dxa" w:w="21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Постоянство ассортимента во времени</w:t>
            </w:r>
          </w:p>
        </w:tc>
        <w:tc>
          <w:tcPr>
            <w:tcW w:type="dxa" w:w="535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Доля постоянных позиций (без изменений более 12 мес.) — 78%.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Регулярно обновляются вкусы йогуртов и мороженого.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Выведенные позиции заменяются новинками в рамках той же товарной линии.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00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30"/>
                <w:szCs w:val="30"/>
              </w:rPr>
              <w:t xml:space="preserve">5</w:t>
            </w:r>
          </w:p>
        </w:tc>
        <w:tc>
          <w:tcPr>
            <w:tcW w:type="dxa" w:w="1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2185B"/>
                <w:sz w:val="28"/>
                <w:szCs w:val="28"/>
              </w:rPr>
              <w:t xml:space="preserve">Новизна</w:t>
            </w:r>
          </w:p>
        </w:tc>
        <w:tc>
          <w:tcPr>
            <w:tcW w:type="dxa" w:w="21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Обновление ассортимента</w:t>
            </w:r>
          </w:p>
        </w:tc>
        <w:tc>
          <w:tcPr>
            <w:tcW w:type="dxa" w:w="535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За последние 12 месяцев выведено 6 позиций и введено 9 новых.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Новинки: йогурт без сахара, кефир безлактозный, творог зернёный 7%, мороженое пломбир в вафельном стаканчике без сахара и др.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00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0796B"/>
                <w:sz w:val="30"/>
                <w:szCs w:val="30"/>
              </w:rPr>
              <w:t xml:space="preserve">6</w:t>
            </w:r>
          </w:p>
        </w:tc>
        <w:tc>
          <w:tcPr>
            <w:tcW w:type="dxa" w:w="1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796B"/>
                <w:sz w:val="28"/>
                <w:szCs w:val="28"/>
              </w:rPr>
              <w:t xml:space="preserve">Структура</w:t>
            </w:r>
          </w:p>
        </w:tc>
        <w:tc>
          <w:tcPr>
            <w:tcW w:type="dxa" w:w="21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Соотношение отдельных групп товаров</w:t>
            </w:r>
          </w:p>
        </w:tc>
        <w:tc>
          <w:tcPr>
            <w:tcW w:type="dxa" w:w="535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Структура ассортимента по доле выручки: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молоко и кисломолочные продукты — 45%, творог — 15%, йогурты — 15%, сметана — 10%, масло — 7%, сгущённое молоко — 5%, мороженое — 3%.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Структура сбалансирована и соответствует спросу.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00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62828"/>
                <w:sz w:val="30"/>
                <w:szCs w:val="30"/>
              </w:rPr>
              <w:t xml:space="preserve">7</w:t>
            </w:r>
          </w:p>
        </w:tc>
        <w:tc>
          <w:tcPr>
            <w:tcW w:type="dxa" w:w="1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8"/>
                <w:szCs w:val="28"/>
              </w:rPr>
              <w:t xml:space="preserve">Высота</w:t>
            </w:r>
          </w:p>
        </w:tc>
        <w:tc>
          <w:tcPr>
            <w:tcW w:type="dxa" w:w="21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Количество градаций внутри позиции</w:t>
            </w:r>
          </w:p>
        </w:tc>
        <w:tc>
          <w:tcPr>
            <w:tcW w:type="dxa" w:w="535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Продукция представлена в различной жирности и форматах упаковки.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Например: молоко — 0,1 л; 0,5 л; 0,93 л; 1,4 л; 1,9 л; 3,4 л, жирность 0%, 1,5%, 2,5%, 3,2%.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Это позволяет удовлетворять потребности разных сегментов покупателей.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00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A100"/>
                <w:sz w:val="30"/>
                <w:szCs w:val="30"/>
              </w:rPr>
              <w:t xml:space="preserve">8</w:t>
            </w:r>
          </w:p>
        </w:tc>
        <w:tc>
          <w:tcPr>
            <w:tcW w:type="dxa" w:w="1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6A100"/>
                <w:sz w:val="24"/>
                <w:szCs w:val="24"/>
              </w:rPr>
              <w:t xml:space="preserve">Рациональность</w:t>
            </w:r>
          </w:p>
        </w:tc>
        <w:tc>
          <w:tcPr>
            <w:tcW w:type="dxa" w:w="21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Оптимальность ассортимента с точки зрения спроса и затрат</w:t>
            </w:r>
          </w:p>
        </w:tc>
        <w:tc>
          <w:tcPr>
            <w:tcW w:type="dxa" w:w="535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Ассортимент формируется на основе анализа продаж и спроса по регионам.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Низкооборачиваемые позиции выводятся или оптимизируются.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Логистика и складские затраты соответствуют объёму продаж.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400050" cy="3905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95548"/>
                <w:sz w:val="30"/>
                <w:szCs w:val="30"/>
              </w:rPr>
              <w:t xml:space="preserve">9</w:t>
            </w:r>
          </w:p>
        </w:tc>
        <w:tc>
          <w:tcPr>
            <w:tcW w:type="dxa" w:w="19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95548"/>
                <w:sz w:val="24"/>
                <w:szCs w:val="24"/>
              </w:rPr>
              <w:t xml:space="preserve">Гармоничность</w:t>
            </w:r>
          </w:p>
        </w:tc>
        <w:tc>
          <w:tcPr>
            <w:tcW w:type="dxa" w:w="210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444444"/>
                <w:sz w:val="17"/>
                <w:szCs w:val="17"/>
              </w:rPr>
              <w:t xml:space="preserve">Согласованность и совместимость товаров</w:t>
            </w:r>
          </w:p>
        </w:tc>
        <w:tc>
          <w:tcPr>
            <w:tcW w:type="dxa" w:w="5350"/>
            <w:tcBorders>
              <w:top w:val="single" w:color="D5DEEA" w:sz="4"/>
              <w:left w:val="none" w:color="FFFFFF" w:sz="0"/>
              <w:bottom w:val="single" w:color="D5DEEA" w:sz="4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6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Товарные линии логично дополняют друг друга и усиливают основной бренд «Простоквашино». Единый стиль упаковки и качество продукции формируют доверие и лояльность покупателей.</w:t>
            </w:r>
          </w:p>
        </w:tc>
      </w:tr>
    </w:tbl>
    <w:p>
      <w:pPr>
        <w:spacing w:after="100"/>
      </w:pPr>
    </w:p>
    <w:tbl>
      <w:tblPr>
        <w:tblW w:type="dxa" w:w="107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250"/>
      </w:tblGrid>
      <w:t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685800" cy="5810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line="280"/>
            </w:pPr>
            <w:r>
              <w:rPr>
                <w:rFonts w:ascii="Arial" w:cs="Arial" w:eastAsia="Arial" w:hAnsi="Arial"/>
                <w:b/>
                <w:bCs/>
                <w:color w:val="1A3A7A"/>
                <w:sz w:val="20"/>
                <w:szCs w:val="20"/>
              </w:rPr>
              <w:t xml:space="preserve">✓  Вывод: </w:t>
            </w: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ассортимент «Простоквашино» широкий, глубокий и сбалансированный. Он устойчив, рационален и соответствует потребностям целевой аудитории. Потенциал роста — в развитии безлактозной и функциональной линейки, а также расширении форматов упаковки.</w:t>
            </w:r>
          </w:p>
        </w:tc>
      </w:tr>
    </w:tbl>
    <w:sectPr>
      <w:pgSz w:w="11906" w:h="16838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68702538db0fd8ca275d2a5af250f0c27e646a.png"/><Relationship Id="rId8" Type="http://schemas.openxmlformats.org/officeDocument/2006/relationships/image" Target="media/9a53615b98caa65cdaf8321deff1748c58f6eb4f.png"/><Relationship Id="rId9" Type="http://schemas.openxmlformats.org/officeDocument/2006/relationships/image" Target="media/62fe1c2d4b6a24d8bc7bd02ffd17a355a3fc1ea1.png"/><Relationship Id="rId10" Type="http://schemas.openxmlformats.org/officeDocument/2006/relationships/image" Target="media/6d4c55dfaaa0bd4328e7414f5c27cfdb5396fa88.png"/><Relationship Id="rId11" Type="http://schemas.openxmlformats.org/officeDocument/2006/relationships/image" Target="media/2b1d1650a8c20e0abab2036a5a494e4edb54ddc1.png"/><Relationship Id="rId12" Type="http://schemas.openxmlformats.org/officeDocument/2006/relationships/image" Target="media/42293109db5b5119472dee7af780d107cf71fcac.png"/><Relationship Id="rId13" Type="http://schemas.openxmlformats.org/officeDocument/2006/relationships/image" Target="media/fd2bf91bf25273e61f20bef7948b0986daf1b869.png"/><Relationship Id="rId14" Type="http://schemas.openxmlformats.org/officeDocument/2006/relationships/image" Target="media/f384d02878e5938f986bc177842810fb51f69f61.png"/><Relationship Id="rId15" Type="http://schemas.openxmlformats.org/officeDocument/2006/relationships/image" Target="media/7469fe514d37ab535b53ffa3de14a2df3291f0d0.png"/><Relationship Id="rId16" Type="http://schemas.openxmlformats.org/officeDocument/2006/relationships/image" Target="media/f2418a935abc540f1d992580b954fa33423935f6.png"/><Relationship Id="rId17" Type="http://schemas.openxmlformats.org/officeDocument/2006/relationships/image" Target="media/5bafb68be89822782fed1d40429adc6f03d94a80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2026-10-05T18:31:30.850Z</dcterms:created>
  <dcterms:modified xsi:type="dcterms:W3CDTF">2026-10-05T18:31:30.856Z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