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de Controle de Mudança (RCM)</w:t>
      </w:r>
    </w:p>
    <w:p>
      <w:r>
        <w:t>RCM Nº: 43</w:t>
      </w:r>
    </w:p>
    <w:p>
      <w:r>
        <w:t>Data: 30/11/2025</w:t>
      </w:r>
    </w:p>
    <w:p>
      <w:pPr>
        <w:pStyle w:val="Heading1"/>
      </w:pPr>
      <w:r>
        <w:t>1. Descrição da Mudança</w:t>
      </w:r>
    </w:p>
    <w:p>
      <w:r>
        <w:t>1. Adicionar campo de entrada de texto 'Número do Protocolo de Inscrição' na interface de usuário.</w:t>
        <w:br/>
        <w:t>2. Modificar esquema da base de dados para incluir nova coluna.</w:t>
        <w:br/>
        <w:t>3. Atualizar API para processar o novo campo.</w:t>
        <w:br/>
        <w:t>4. Desenvolver e executar testes de integração e aceitação do usuário.</w:t>
        <w:br/>
        <w:t>5. Atualizar documentação e preparar material de treinamento.</w:t>
      </w:r>
    </w:p>
    <w:p>
      <w:pPr>
        <w:pStyle w:val="Heading1"/>
      </w:pPr>
      <w:r>
        <w:t>2. Estimativas</w:t>
      </w:r>
    </w:p>
    <w:p>
      <w:r>
        <w:t>Estimativa de Esforço: Médio</w:t>
      </w:r>
    </w:p>
    <w:p>
      <w:r>
        <w:t>Prazo Estimado: 3-7 dias</w:t>
      </w:r>
    </w:p>
    <w:p>
      <w:r>
        <w:t>Pontos de Função: 11</w:t>
      </w:r>
    </w:p>
    <w:p>
      <w:pPr>
        <w:pStyle w:val="Heading1"/>
      </w:pPr>
      <w:r>
        <w:t>3. Aprovação</w:t>
      </w:r>
    </w:p>
    <w:p>
      <w:r>
        <w:t>Aprovação do Cliente: 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