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12A" w:rsidRDefault="002D712A" w:rsidP="002D712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D712A" w:rsidRDefault="002D712A" w:rsidP="002D712A">
      <w:pPr>
        <w:widowControl w:val="0"/>
        <w:rPr>
          <w:rFonts w:cs="Arial"/>
          <w:sz w:val="20"/>
        </w:rPr>
      </w:pPr>
    </w:p>
    <w:p w:rsidR="002D712A" w:rsidRDefault="002D712A" w:rsidP="002D712A">
      <w:pPr>
        <w:widowControl w:val="0"/>
        <w:rPr>
          <w:rFonts w:cs="Arial"/>
          <w:sz w:val="20"/>
        </w:rPr>
      </w:pPr>
    </w:p>
    <w:p w:rsidR="002D712A" w:rsidRDefault="002D712A" w:rsidP="002D712A">
      <w:pPr>
        <w:widowControl w:val="0"/>
        <w:rPr>
          <w:rFonts w:cs="Arial"/>
          <w:sz w:val="20"/>
        </w:rPr>
      </w:pPr>
    </w:p>
    <w:p w:rsidR="002D712A" w:rsidRDefault="002D712A" w:rsidP="002D712A">
      <w:pPr>
        <w:widowControl w:val="0"/>
        <w:rPr>
          <w:rFonts w:cs="Arial"/>
          <w:sz w:val="20"/>
        </w:rPr>
      </w:pPr>
    </w:p>
    <w:p w:rsidR="002D712A" w:rsidRDefault="002D712A" w:rsidP="002D712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D712A" w:rsidRDefault="002D712A" w:rsidP="002D712A">
      <w:pPr>
        <w:widowControl w:val="0"/>
        <w:rPr>
          <w:rFonts w:cs="Arial"/>
          <w:sz w:val="20"/>
          <w:u w:val="single"/>
        </w:rPr>
      </w:pPr>
    </w:p>
    <w:p w:rsidR="002D712A" w:rsidRDefault="002D712A" w:rsidP="002D712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D712A" w:rsidRDefault="002D712A" w:rsidP="002D712A">
      <w:pPr>
        <w:widowControl w:val="0"/>
        <w:rPr>
          <w:rFonts w:cs="Arial"/>
          <w:sz w:val="20"/>
        </w:rPr>
      </w:pPr>
    </w:p>
    <w:p w:rsidR="002D712A" w:rsidRDefault="002D712A" w:rsidP="002D712A">
      <w:pPr>
        <w:widowControl w:val="0"/>
        <w:rPr>
          <w:rFonts w:cs="Arial"/>
          <w:sz w:val="20"/>
        </w:rPr>
      </w:pPr>
    </w:p>
    <w:p w:rsidR="002D712A" w:rsidRDefault="002D712A" w:rsidP="002D712A">
      <w:pPr>
        <w:widowControl w:val="0"/>
        <w:rPr>
          <w:rFonts w:cs="Arial"/>
          <w:sz w:val="20"/>
        </w:rPr>
      </w:pPr>
    </w:p>
    <w:p w:rsidR="002D712A" w:rsidRDefault="002D712A" w:rsidP="002D712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D712A" w:rsidRDefault="002D712A" w:rsidP="002D712A">
      <w:pPr>
        <w:widowControl w:val="0"/>
        <w:rPr>
          <w:rFonts w:cs="Arial"/>
          <w:sz w:val="20"/>
        </w:rPr>
      </w:pPr>
    </w:p>
    <w:p w:rsidR="002D712A" w:rsidRDefault="002D712A" w:rsidP="002D712A">
      <w:pPr>
        <w:widowControl w:val="0"/>
        <w:rPr>
          <w:rFonts w:cs="Arial"/>
          <w:sz w:val="20"/>
        </w:rPr>
      </w:pPr>
    </w:p>
    <w:p w:rsidR="002D712A" w:rsidRDefault="002D712A" w:rsidP="002D712A">
      <w:pPr>
        <w:widowControl w:val="0"/>
        <w:rPr>
          <w:rFonts w:cs="Arial"/>
        </w:rPr>
      </w:pPr>
    </w:p>
    <w:p w:rsidR="002D712A" w:rsidRDefault="002D712A" w:rsidP="002D712A">
      <w:pPr>
        <w:pStyle w:val="Capa"/>
        <w:rPr>
          <w:color w:val="FF9900"/>
        </w:rPr>
      </w:pPr>
      <w:r>
        <w:t>SINDRAPE</w:t>
      </w:r>
    </w:p>
    <w:p w:rsidR="002D712A" w:rsidRDefault="002D712A" w:rsidP="002D712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D712A" w:rsidRPr="002D712A" w:rsidRDefault="002D712A" w:rsidP="002D712A">
      <w:pPr>
        <w:widowControl w:val="0"/>
        <w:rPr>
          <w:color w:val="000080"/>
        </w:rPr>
      </w:pPr>
    </w:p>
    <w:p w:rsidR="002D712A" w:rsidRPr="002D712A" w:rsidRDefault="002D712A" w:rsidP="002D712A">
      <w:pPr>
        <w:widowControl w:val="0"/>
        <w:jc w:val="right"/>
        <w:rPr>
          <w:rFonts w:cs="Arial"/>
          <w:b/>
          <w:bCs/>
          <w:color w:val="000080"/>
        </w:rPr>
      </w:pPr>
    </w:p>
    <w:p w:rsidR="002D712A" w:rsidRDefault="002D712A" w:rsidP="002D712A">
      <w:pPr>
        <w:pStyle w:val="Capa"/>
      </w:pPr>
      <w:r>
        <w:t xml:space="preserve">UCS0361– Manter Parâmetros da Licença Prêmio </w:t>
      </w:r>
      <w:r w:rsidR="00E66470">
        <w:t>Cargos Efetivos</w:t>
      </w:r>
    </w:p>
    <w:p w:rsidR="002D712A" w:rsidRDefault="002D712A" w:rsidP="002D712A">
      <w:pPr>
        <w:widowControl w:val="0"/>
        <w:rPr>
          <w:rFonts w:cs="Arial"/>
        </w:rPr>
      </w:pPr>
    </w:p>
    <w:p w:rsidR="002D712A" w:rsidRDefault="002D712A" w:rsidP="002D712A">
      <w:pPr>
        <w:widowControl w:val="0"/>
      </w:pPr>
    </w:p>
    <w:p w:rsidR="002D712A" w:rsidRDefault="002D712A" w:rsidP="002D712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D712A" w:rsidRPr="002D712A" w:rsidRDefault="002D712A" w:rsidP="002D712A">
      <w:pPr>
        <w:pStyle w:val="Corpodetexto3"/>
        <w:widowControl w:val="0"/>
        <w:spacing w:after="0"/>
        <w:rPr>
          <w:rFonts w:cs="Arial"/>
        </w:rPr>
      </w:pPr>
      <w:r w:rsidRPr="002D712A">
        <w:rPr>
          <w:rFonts w:cs="Arial"/>
        </w:rPr>
        <w:lastRenderedPageBreak/>
        <w:t>Histórico de Revisões</w:t>
      </w:r>
    </w:p>
    <w:p w:rsidR="002D712A" w:rsidRDefault="002D712A" w:rsidP="002D712A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9"/>
        <w:gridCol w:w="1756"/>
        <w:gridCol w:w="2086"/>
      </w:tblGrid>
      <w:tr w:rsidR="002D712A" w:rsidTr="002D712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D712A" w:rsidTr="002D712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29/10/2007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2D712A" w:rsidTr="002D712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26/11/2008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038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2D712A" w:rsidTr="002D712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D712A" w:rsidTr="002D712A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2D712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D712A" w:rsidRDefault="002D712A" w:rsidP="002D712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D712A" w:rsidRPr="002D712A" w:rsidRDefault="002D712A" w:rsidP="002D712A">
      <w:pPr>
        <w:pStyle w:val="Corpodetexto3"/>
        <w:widowControl w:val="0"/>
        <w:spacing w:after="0"/>
        <w:jc w:val="left"/>
        <w:rPr>
          <w:rFonts w:cs="Arial"/>
        </w:rPr>
      </w:pPr>
      <w:r w:rsidRPr="002D712A">
        <w:rPr>
          <w:rFonts w:cs="Arial"/>
        </w:rPr>
        <w:lastRenderedPageBreak/>
        <w:t>Índice</w:t>
      </w:r>
    </w:p>
    <w:p w:rsidR="002D712A" w:rsidRPr="002D712A" w:rsidRDefault="002D712A" w:rsidP="002D712A">
      <w:pPr>
        <w:pStyle w:val="Corpodetexto3"/>
        <w:widowControl w:val="0"/>
        <w:spacing w:after="0"/>
        <w:jc w:val="left"/>
        <w:rPr>
          <w:rFonts w:cs="Arial"/>
          <w:sz w:val="2"/>
        </w:rPr>
      </w:pPr>
    </w:p>
    <w:bookmarkStart w:id="0" w:name="_GoBack"/>
    <w:bookmarkEnd w:id="0"/>
    <w:p w:rsidR="00AC2496" w:rsidRDefault="002D71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2329" w:history="1">
        <w:r w:rsidR="00AC2496" w:rsidRPr="00DA4DEE">
          <w:rPr>
            <w:rStyle w:val="Hyperlink"/>
            <w:noProof/>
          </w:rPr>
          <w:t>1.</w:t>
        </w:r>
        <w:r w:rsidR="00AC249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C2496" w:rsidRPr="00DA4DEE">
          <w:rPr>
            <w:rStyle w:val="Hyperlink"/>
            <w:noProof/>
          </w:rPr>
          <w:t>Pacote/Caso de Uso</w:t>
        </w:r>
        <w:r w:rsidR="00AC2496">
          <w:rPr>
            <w:noProof/>
            <w:webHidden/>
          </w:rPr>
          <w:tab/>
        </w:r>
        <w:r w:rsidR="00AC2496">
          <w:rPr>
            <w:noProof/>
            <w:webHidden/>
          </w:rPr>
          <w:fldChar w:fldCharType="begin"/>
        </w:r>
        <w:r w:rsidR="00AC2496">
          <w:rPr>
            <w:noProof/>
            <w:webHidden/>
          </w:rPr>
          <w:instrText xml:space="preserve"> PAGEREF _Toc404182329 \h </w:instrText>
        </w:r>
        <w:r w:rsidR="00AC2496">
          <w:rPr>
            <w:noProof/>
            <w:webHidden/>
          </w:rPr>
        </w:r>
        <w:r w:rsidR="00AC2496">
          <w:rPr>
            <w:noProof/>
            <w:webHidden/>
          </w:rPr>
          <w:fldChar w:fldCharType="separate"/>
        </w:r>
        <w:r w:rsidR="00AC2496">
          <w:rPr>
            <w:noProof/>
            <w:webHidden/>
          </w:rPr>
          <w:t>5</w:t>
        </w:r>
        <w:r w:rsidR="00AC2496"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30" w:history="1">
        <w:r w:rsidRPr="00DA4DEE">
          <w:rPr>
            <w:rStyle w:val="Hyperlink"/>
            <w:noProof/>
          </w:rPr>
          <w:t>Manter Parâmetros da Licença Prêmio Cargos Efetivos.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31" w:history="1">
        <w:r w:rsidRPr="00DA4DE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32" w:history="1">
        <w:r w:rsidRPr="00DA4DE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33" w:history="1">
        <w:r w:rsidRPr="00DA4DE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34" w:history="1">
        <w:r w:rsidRPr="00DA4DE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35" w:history="1">
        <w:r w:rsidRPr="00DA4DE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36" w:history="1">
        <w:r w:rsidRPr="00DA4DE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37" w:history="1">
        <w:r w:rsidRPr="00DA4DE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38" w:history="1">
        <w:r w:rsidRPr="00DA4DEE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Incluir Parâmetro Licença Prêmio Cargos Efetivos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39" w:history="1">
        <w:r w:rsidRPr="00DA4DEE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Básico – Regras para Concessão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40" w:history="1">
        <w:r w:rsidRPr="00DA4DEE">
          <w:rPr>
            <w:rStyle w:val="Hyperlink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Básico – Regras do Usufruto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41" w:history="1">
        <w:r w:rsidRPr="00DA4DEE">
          <w:rPr>
            <w:rStyle w:val="Hyperlink"/>
            <w:noProof/>
          </w:rPr>
          <w:t>3.1.3.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Básico  - Regras da perda do usufruto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42" w:history="1">
        <w:r w:rsidRPr="00DA4DEE">
          <w:rPr>
            <w:rStyle w:val="Hyperlink"/>
            <w:noProof/>
          </w:rPr>
          <w:t>3.1.4.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Básico  - Regras da perda do usufruto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43" w:history="1">
        <w:r w:rsidRPr="00DA4DEE">
          <w:rPr>
            <w:rStyle w:val="Hyperlink"/>
            <w:noProof/>
          </w:rPr>
          <w:t>3.1.5.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Básico  - Regras da indenização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44" w:history="1">
        <w:r w:rsidRPr="00DA4DEE">
          <w:rPr>
            <w:rStyle w:val="Hyperlink"/>
            <w:noProof/>
          </w:rPr>
          <w:t>3.1.6.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Básico  - Inclusão das Informações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45" w:history="1">
        <w:r w:rsidRPr="00DA4DEE">
          <w:rPr>
            <w:rStyle w:val="Hyperlink"/>
            <w:noProof/>
          </w:rPr>
          <w:t>3.1.7.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Alternativo – Seleciona uma nova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46" w:history="1">
        <w:r w:rsidRPr="00DA4DEE">
          <w:rPr>
            <w:rStyle w:val="Hyperlink"/>
            <w:noProof/>
          </w:rPr>
          <w:t>3.1.8.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Alternativo – Seleciona um novo Tipo de licença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47" w:history="1">
        <w:r w:rsidRPr="00DA4DEE">
          <w:rPr>
            <w:rStyle w:val="Hyperlink"/>
            <w:noProof/>
          </w:rPr>
          <w:t>3.1.9.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Alternativo  - Pesquisa Auxiliar de Rubricas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48" w:history="1">
        <w:r w:rsidRPr="00DA4DEE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Alterar Parâmetro Licença Prêmio Cargos Efetivos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49" w:history="1">
        <w:r w:rsidRPr="00DA4DEE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Básico - Regras para Concessão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50" w:history="1">
        <w:r w:rsidRPr="00DA4DEE">
          <w:rPr>
            <w:rStyle w:val="Hyperlink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Básico – Regras do Usufruto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51" w:history="1">
        <w:r w:rsidRPr="00DA4DEE">
          <w:rPr>
            <w:rStyle w:val="Hyperlink"/>
            <w:noProof/>
          </w:rPr>
          <w:t>3.2.3.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Básico  - Regras da Perda do Usufruto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52" w:history="1">
        <w:r w:rsidRPr="00DA4DEE">
          <w:rPr>
            <w:rStyle w:val="Hyperlink"/>
            <w:noProof/>
          </w:rPr>
          <w:t>3.2.4.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Básico  - Regras da Indenização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53" w:history="1">
        <w:r w:rsidRPr="00DA4DEE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Excluir Parâmetro Licença Prêmio Cargos Efetivos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54" w:history="1">
        <w:r w:rsidRPr="00DA4DEE">
          <w:rPr>
            <w:rStyle w:val="Hyperlink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55" w:history="1">
        <w:r w:rsidRPr="00DA4DEE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Listar Parâmetro Licença Prêmio Cargos Efetivos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56" w:history="1">
        <w:r w:rsidRPr="00DA4DEE">
          <w:rPr>
            <w:rStyle w:val="Hyperlink"/>
            <w:noProof/>
          </w:rPr>
          <w:t>3.4.1.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57" w:history="1">
        <w:r w:rsidRPr="00DA4DEE">
          <w:rPr>
            <w:rStyle w:val="Hyperlink"/>
            <w:noProof/>
          </w:rPr>
          <w:t>3.4.2.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58" w:history="1">
        <w:r w:rsidRPr="00DA4DE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59" w:history="1">
        <w:r w:rsidRPr="00DA4DE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60" w:history="1">
        <w:r w:rsidRPr="00DA4DE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RN01: Verificar se é a última vigência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61" w:history="1">
        <w:r w:rsidRPr="00DA4DEE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RN02: Verificar se é a última vigência para retificação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62" w:history="1">
        <w:r w:rsidRPr="00DA4DEE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RN03: Verificar data inicial da retificação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63" w:history="1">
        <w:r w:rsidRPr="00DA4DEE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RN04: Continuar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64" w:history="1">
        <w:r w:rsidRPr="00DA4DEE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RN05: Nova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65" w:history="1">
        <w:r w:rsidRPr="00DA4DEE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RN06: Verificar existência de Períodos Aquisitivos Previsto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66" w:history="1">
        <w:r w:rsidRPr="00DA4DEE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RN07: Verificar existência de Períodos Aquisitivos Conquistados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67" w:history="1">
        <w:r w:rsidRPr="00DA4DEE">
          <w:rPr>
            <w:rStyle w:val="Hyperlink"/>
            <w:noProof/>
          </w:rPr>
          <w:t>4.1.8.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RN08: Verificar existência de Períodos Aquisitivos Perdidos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68" w:history="1">
        <w:r w:rsidRPr="00DA4DEE">
          <w:rPr>
            <w:rStyle w:val="Hyperlink"/>
            <w:noProof/>
          </w:rPr>
          <w:t>4.1.9.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RN09: Verificar existência Parâmetro Licença Prêmio para o Item de Carreira”.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69" w:history="1">
        <w:r w:rsidRPr="00DA4DEE">
          <w:rPr>
            <w:rStyle w:val="Hyperlink"/>
            <w:noProof/>
          </w:rPr>
          <w:t>4.1.10.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RN10: Verificar existência Parâmetro Licença Prêmio para a Carreira”.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0" w:history="1">
        <w:r w:rsidRPr="00DA4DEE">
          <w:rPr>
            <w:rStyle w:val="Hyperlink"/>
            <w:noProof/>
          </w:rPr>
          <w:t>4.1.11.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RN11: Verificar opção tipo percentual para Quantitativo Máximo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1" w:history="1">
        <w:r w:rsidRPr="00DA4DE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Validação de Campos do Formulário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2" w:history="1">
        <w:r w:rsidRPr="00DA4DE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Regras da concessão/Usufruto/Indenização/Perda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3" w:history="1">
        <w:r w:rsidRPr="00DA4DEE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Validação de duplicidade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4" w:history="1">
        <w:r w:rsidRPr="00DA4DE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Gerenciamento de vigência.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C2496" w:rsidRDefault="00AC249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5" w:history="1">
        <w:r w:rsidRPr="00DA4DEE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A4DE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D712A" w:rsidRDefault="002D712A" w:rsidP="002D712A">
      <w:pPr>
        <w:pStyle w:val="Sumrio1"/>
      </w:pPr>
      <w:r>
        <w:fldChar w:fldCharType="end"/>
      </w:r>
    </w:p>
    <w:p w:rsidR="002D712A" w:rsidRDefault="002D712A" w:rsidP="002D712A">
      <w:pPr>
        <w:widowControl w:val="0"/>
        <w:rPr>
          <w:rFonts w:cs="Arial"/>
          <w:b/>
          <w:bCs/>
          <w:color w:val="000000"/>
        </w:rPr>
      </w:pPr>
    </w:p>
    <w:p w:rsidR="002D712A" w:rsidRDefault="002D712A" w:rsidP="002D712A">
      <w:pPr>
        <w:pStyle w:val="Heading"/>
        <w:rPr>
          <w:rFonts w:cs="Arial"/>
          <w:szCs w:val="24"/>
          <w:lang w:val="pt-BR"/>
        </w:rPr>
      </w:pPr>
    </w:p>
    <w:p w:rsidR="002D712A" w:rsidRDefault="002D712A" w:rsidP="002D712A">
      <w:pPr>
        <w:pStyle w:val="Heading"/>
      </w:pPr>
    </w:p>
    <w:p w:rsidR="002D712A" w:rsidRDefault="002D712A" w:rsidP="002D712A">
      <w:pPr>
        <w:pStyle w:val="Heading"/>
        <w:jc w:val="center"/>
      </w:pPr>
    </w:p>
    <w:p w:rsidR="002D712A" w:rsidRDefault="002D712A" w:rsidP="002D712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D712A" w:rsidRDefault="002D712A" w:rsidP="002D712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2329"/>
      <w:r>
        <w:lastRenderedPageBreak/>
        <w:t>Pacote/Caso de Uso</w:t>
      </w:r>
      <w:bookmarkEnd w:id="1"/>
    </w:p>
    <w:p w:rsidR="002D712A" w:rsidRDefault="002D712A" w:rsidP="002D712A"/>
    <w:p w:rsidR="002D712A" w:rsidRDefault="002D712A" w:rsidP="00AC2496">
      <w:pPr>
        <w:pStyle w:val="Subttulo"/>
      </w:pPr>
      <w:bookmarkStart w:id="2" w:name="_Toc404182330"/>
      <w:r>
        <w:t xml:space="preserve">Manter Parâmetros da Licença Prêmio </w:t>
      </w:r>
      <w:r w:rsidR="00E66470">
        <w:t>Cargos Efetivos</w:t>
      </w:r>
      <w:r>
        <w:t>.</w:t>
      </w:r>
      <w:bookmarkEnd w:id="2"/>
    </w:p>
    <w:p w:rsidR="002D712A" w:rsidRDefault="002D712A" w:rsidP="002D712A">
      <w:pPr>
        <w:widowControl w:val="0"/>
        <w:ind w:left="902"/>
        <w:rPr>
          <w:rFonts w:cs="Arial"/>
          <w:b/>
          <w:bCs/>
          <w:color w:val="FF0000"/>
        </w:rPr>
      </w:pPr>
    </w:p>
    <w:p w:rsidR="002D712A" w:rsidRDefault="002D712A" w:rsidP="002D712A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3" w:name="_Toc404182331"/>
      <w:r>
        <w:t>Descrição</w:t>
      </w:r>
      <w:bookmarkEnd w:id="3"/>
    </w:p>
    <w:p w:rsidR="002D712A" w:rsidRDefault="002D712A" w:rsidP="002D712A">
      <w:pPr>
        <w:pStyle w:val="Recuodecorpodetexto2"/>
        <w:widowControl w:val="0"/>
        <w:ind w:left="1620" w:firstLine="0"/>
        <w:rPr>
          <w:sz w:val="24"/>
        </w:rPr>
      </w:pPr>
    </w:p>
    <w:p w:rsidR="002D712A" w:rsidRDefault="002D712A" w:rsidP="002D712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</w:t>
      </w:r>
      <w:proofErr w:type="gramStart"/>
      <w:r>
        <w:rPr>
          <w:sz w:val="24"/>
        </w:rPr>
        <w:t xml:space="preserve">responsável por agrupar os casos de uso de manutenção de parâmetros de Licença Prêmio </w:t>
      </w:r>
      <w:r w:rsidR="00E66470">
        <w:rPr>
          <w:sz w:val="24"/>
        </w:rPr>
        <w:t>Cargos Efetivos</w:t>
      </w:r>
      <w:proofErr w:type="gramEnd"/>
      <w:r>
        <w:rPr>
          <w:sz w:val="24"/>
        </w:rPr>
        <w:t>.</w:t>
      </w:r>
    </w:p>
    <w:p w:rsidR="002D712A" w:rsidRDefault="002D712A" w:rsidP="002D712A">
      <w:pPr>
        <w:pStyle w:val="Recuodecorpodetexto2"/>
        <w:widowControl w:val="0"/>
        <w:ind w:left="1620" w:firstLine="0"/>
        <w:rPr>
          <w:sz w:val="24"/>
        </w:rPr>
      </w:pPr>
    </w:p>
    <w:p w:rsidR="002D712A" w:rsidRDefault="002D712A" w:rsidP="002D712A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4" w:name="_Toc404182332"/>
      <w:r>
        <w:t>Requisitos atendidos</w:t>
      </w:r>
      <w:bookmarkEnd w:id="4"/>
    </w:p>
    <w:p w:rsidR="002D712A" w:rsidRDefault="002D712A" w:rsidP="002D712A"/>
    <w:p w:rsidR="002D712A" w:rsidRDefault="002D712A" w:rsidP="002D712A">
      <w:pPr>
        <w:pStyle w:val="Recuodecorpodetexto"/>
        <w:ind w:left="1260"/>
      </w:pPr>
      <w:r>
        <w:t>R10 – Manter licença prêmio</w:t>
      </w:r>
    </w:p>
    <w:p w:rsidR="002D712A" w:rsidRDefault="002D712A" w:rsidP="002D712A"/>
    <w:p w:rsidR="002D712A" w:rsidRDefault="002D712A" w:rsidP="002D712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2333"/>
      <w:r>
        <w:t>Conceito</w:t>
      </w:r>
      <w:bookmarkEnd w:id="5"/>
      <w:r>
        <w:tab/>
      </w:r>
    </w:p>
    <w:p w:rsidR="002D712A" w:rsidRDefault="002D712A" w:rsidP="002D712A"/>
    <w:p w:rsidR="002D712A" w:rsidRDefault="002D712A" w:rsidP="002D712A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6" w:name="_Toc404182334"/>
      <w:r>
        <w:t>Conceitos principais</w:t>
      </w:r>
      <w:bookmarkEnd w:id="6"/>
    </w:p>
    <w:p w:rsidR="002D712A" w:rsidRDefault="002D712A" w:rsidP="002D712A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D712A" w:rsidTr="001B5E1C">
        <w:trPr>
          <w:trHeight w:val="600"/>
        </w:trPr>
        <w:tc>
          <w:tcPr>
            <w:tcW w:w="1600" w:type="dxa"/>
          </w:tcPr>
          <w:p w:rsidR="002D712A" w:rsidRDefault="002D712A" w:rsidP="002D712A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4606" w:type="dxa"/>
          </w:tcPr>
          <w:p w:rsidR="002D712A" w:rsidRDefault="002D712A" w:rsidP="001B5E1C">
            <w:pPr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</w:tbl>
    <w:p w:rsidR="002D712A" w:rsidRDefault="002D712A" w:rsidP="002D712A">
      <w:pPr>
        <w:rPr>
          <w:rFonts w:cs="Arial"/>
        </w:rPr>
      </w:pPr>
    </w:p>
    <w:p w:rsidR="002D712A" w:rsidRDefault="002D712A" w:rsidP="002D712A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D712A" w:rsidTr="001B5E1C">
        <w:trPr>
          <w:trHeight w:val="600"/>
        </w:trPr>
        <w:tc>
          <w:tcPr>
            <w:tcW w:w="1600" w:type="dxa"/>
          </w:tcPr>
          <w:p w:rsidR="002D712A" w:rsidRDefault="002D712A" w:rsidP="002D712A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Itens de Carreira</w:t>
            </w:r>
          </w:p>
        </w:tc>
        <w:tc>
          <w:tcPr>
            <w:tcW w:w="4606" w:type="dxa"/>
          </w:tcPr>
          <w:p w:rsidR="002D712A" w:rsidRDefault="002D712A" w:rsidP="001B5E1C">
            <w:pPr>
              <w:rPr>
                <w:rFonts w:cs="Arial"/>
              </w:rPr>
            </w:pPr>
            <w:r>
              <w:rPr>
                <w:rFonts w:cs="Arial"/>
              </w:rPr>
              <w:t>Divisão realizada dentro da carreira com a finalidade de organizar uma carreira.</w:t>
            </w:r>
          </w:p>
        </w:tc>
      </w:tr>
    </w:tbl>
    <w:p w:rsidR="002D712A" w:rsidRDefault="002D712A" w:rsidP="002D712A">
      <w:pPr>
        <w:rPr>
          <w:rFonts w:cs="Arial"/>
        </w:rPr>
      </w:pPr>
    </w:p>
    <w:p w:rsidR="002D712A" w:rsidRDefault="002D712A" w:rsidP="002D712A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7" w:name="_Toc404182335"/>
      <w:r>
        <w:t>Conceitos associados</w:t>
      </w:r>
      <w:bookmarkEnd w:id="7"/>
    </w:p>
    <w:p w:rsidR="002D712A" w:rsidRDefault="002D712A" w:rsidP="002D712A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2D712A" w:rsidRDefault="002D712A" w:rsidP="002D712A">
      <w:pPr>
        <w:rPr>
          <w:rFonts w:eastAsia="Arial Unicode MS"/>
        </w:rPr>
      </w:pPr>
    </w:p>
    <w:p w:rsidR="002D712A" w:rsidRDefault="002D712A" w:rsidP="002D712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182336"/>
      <w:r>
        <w:lastRenderedPageBreak/>
        <w:t>Diagrama</w:t>
      </w:r>
      <w:bookmarkEnd w:id="8"/>
    </w:p>
    <w:p w:rsidR="002D712A" w:rsidRDefault="002D712A" w:rsidP="002D712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D712A" w:rsidRDefault="002D712A" w:rsidP="002D712A">
      <w:pPr>
        <w:widowControl w:val="0"/>
        <w:ind w:left="0"/>
        <w:jc w:val="center"/>
        <w:rPr>
          <w:rFonts w:cs="Arial"/>
        </w:rPr>
      </w:pPr>
    </w:p>
    <w:p w:rsidR="002D712A" w:rsidRDefault="002D712A" w:rsidP="002D712A">
      <w:pPr>
        <w:widowControl w:val="0"/>
        <w:jc w:val="center"/>
        <w:rPr>
          <w:rFonts w:cs="Arial"/>
        </w:rPr>
      </w:pPr>
    </w:p>
    <w:p w:rsidR="002D712A" w:rsidRDefault="00E66470" w:rsidP="00E66470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  <w:bookmarkStart w:id="9" w:name="_Toc404182337"/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47F610AA" wp14:editId="45EA1DE7">
                <wp:simplePos x="0" y="0"/>
                <wp:positionH relativeFrom="column">
                  <wp:posOffset>-80010</wp:posOffset>
                </wp:positionH>
                <wp:positionV relativeFrom="paragraph">
                  <wp:posOffset>4445</wp:posOffset>
                </wp:positionV>
                <wp:extent cx="5753100" cy="2428875"/>
                <wp:effectExtent l="0" t="0" r="0" b="9525"/>
                <wp:wrapNone/>
                <wp:docPr id="33" name="Tela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63650" y="17780"/>
                            <a:ext cx="1784985" cy="1060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63650" y="114935"/>
                            <a:ext cx="4471670" cy="22961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69415" y="229870"/>
                            <a:ext cx="32048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24 -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Licença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Prêmio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Cargos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Efetivos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343025" y="688975"/>
                            <a:ext cx="2085975" cy="5918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58315" y="777240"/>
                            <a:ext cx="12528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Parametros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953260" y="918845"/>
                            <a:ext cx="8705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Licenca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Premio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705610" y="1059815"/>
                            <a:ext cx="11233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Cargos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Efetivos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3517265" y="688975"/>
                            <a:ext cx="2085340" cy="5918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896995" y="777240"/>
                            <a:ext cx="12680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Parametros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126865" y="918845"/>
                            <a:ext cx="8705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Licenca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Premio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879850" y="1059815"/>
                            <a:ext cx="1123315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 w:rsidP="00E6647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Cargos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Efetivos</w:t>
                              </w:r>
                              <w:proofErr w:type="spellEnd"/>
                            </w:p>
                            <w:p w:rsidR="00E66470" w:rsidRDefault="00E66470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431925" y="1518920"/>
                            <a:ext cx="2085340" cy="6007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838325" y="1607185"/>
                            <a:ext cx="12636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Parametros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041525" y="1748790"/>
                            <a:ext cx="8705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Licenca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Premio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793875" y="1890395"/>
                            <a:ext cx="1123315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 w:rsidP="00E6647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Cargos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Efetivos</w:t>
                              </w:r>
                              <w:proofErr w:type="spellEnd"/>
                            </w:p>
                            <w:p w:rsidR="00E66470" w:rsidRDefault="00E66470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596640" y="1518920"/>
                            <a:ext cx="2085975" cy="6007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020820" y="1607185"/>
                            <a:ext cx="119697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Parametros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206875" y="1748790"/>
                            <a:ext cx="8705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Licenca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Premio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959225" y="1890395"/>
                            <a:ext cx="11233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Cargos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Efetivos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79730" y="953770"/>
                            <a:ext cx="159385" cy="1593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459740" y="1113155"/>
                            <a:ext cx="0" cy="1587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371475" y="1174750"/>
                            <a:ext cx="1854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 flipH="1">
                            <a:off x="353695" y="1271905"/>
                            <a:ext cx="106045" cy="1587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459740" y="1271905"/>
                            <a:ext cx="106045" cy="1587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3340" y="1430655"/>
                            <a:ext cx="6743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6470" w:rsidRDefault="00E6647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600710" y="1174750"/>
                            <a:ext cx="66294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3" o:spid="_x0000_s1026" editas="canvas" style="position:absolute;left:0;text-align:left;margin-left:-6.3pt;margin-top:.35pt;width:453pt;height:191.25pt;z-index:251660288" coordsize="57531,24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4288;visibility:visible;mso-wrap-style:square">
                  <v:fill o:detectmouseclick="t"/>
                  <v:path o:connecttype="none"/>
                </v:shape>
                <v:rect id="Rectangle 5" o:spid="_x0000_s1028" style="position:absolute;left:12636;top:177;width:17850;height:1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636;top:1149;width:44717;height:229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6694;top:2298;width:3204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E66470" w:rsidRDefault="00E6647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24 -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Licença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Prêmio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Cargos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Efetivos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3430;top:6889;width:20860;height:59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17583;top:7772;width:1252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E66470" w:rsidRDefault="00E6647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Parametros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0" o:spid="_x0000_s1033" style="position:absolute;left:19532;top:9188;width:870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E66470" w:rsidRDefault="00E6647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Licenca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Premio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17056;top:10598;width:1123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E66470" w:rsidRDefault="00E6647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Cargos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Efetivos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35172;top:6889;width:20854;height:59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38969;top:7772;width:1268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E66470" w:rsidRDefault="00E6647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Parametros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4" o:spid="_x0000_s1037" style="position:absolute;left:41268;top:9188;width:870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E66470" w:rsidRDefault="00E6647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Licenca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Premio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8" style="position:absolute;left:38798;top:10598;width:11233;height:46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E66470" w:rsidRDefault="00E66470" w:rsidP="00E6647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Cargos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Efetivos</w:t>
                        </w:r>
                        <w:proofErr w:type="spellEnd"/>
                      </w:p>
                      <w:p w:rsidR="00E66470" w:rsidRDefault="00E66470">
                        <w:pPr>
                          <w:ind w:left="0"/>
                        </w:pPr>
                      </w:p>
                    </w:txbxContent>
                  </v:textbox>
                </v:rect>
                <v:oval id="Oval 16" o:spid="_x0000_s1039" style="position:absolute;left:14319;top:15189;width:20853;height:6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18383;top:16071;width:1263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E66470" w:rsidRDefault="00E6647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Parametros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18" o:spid="_x0000_s1041" style="position:absolute;left:20415;top:17487;width:8706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E66470" w:rsidRDefault="00E6647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Licenca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Premio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17938;top:18903;width:11233;height:46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E66470" w:rsidRDefault="00E66470" w:rsidP="00E6647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Cargos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Efetivos</w:t>
                        </w:r>
                        <w:proofErr w:type="spellEnd"/>
                      </w:p>
                      <w:p w:rsidR="00E66470" w:rsidRDefault="00E66470">
                        <w:pPr>
                          <w:ind w:left="0"/>
                        </w:pPr>
                      </w:p>
                    </w:txbxContent>
                  </v:textbox>
                </v:rect>
                <v:oval id="Oval 20" o:spid="_x0000_s1043" style="position:absolute;left:35966;top:15189;width:20860;height:6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40208;top:16071;width:1196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E66470" w:rsidRDefault="00E6647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Parametros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2" o:spid="_x0000_s1045" style="position:absolute;left:42068;top:17487;width:8706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E66470" w:rsidRDefault="00E6647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Licenca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Premio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39592;top:18903;width:11233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E66470" w:rsidRDefault="00E6647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Cargos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Efetivos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797;top:9537;width:1594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line id="Line 25" o:spid="_x0000_s1048" style="position:absolute;visibility:visible;mso-wrap-style:square" from="4597,11131" to="4597,12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line id="Line 26" o:spid="_x0000_s1049" style="position:absolute;visibility:visible;mso-wrap-style:square" from="3714,11747" to="5568,11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uq8c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Y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oLqvHAAAAA2wAAAA8AAAAAAAAAAAAAAAAA&#10;oQIAAGRycy9kb3ducmV2LnhtbFBLBQYAAAAABAAEAPkAAACOAwAAAAA=&#10;" strokecolor="#903" strokeweight="0"/>
                <v:line id="Line 27" o:spid="_x0000_s1050" style="position:absolute;flip:x;visibility:visible;mso-wrap-style:square" from="3536,12719" to="4597,14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JyX8AAAADbAAAADwAAAGRycy9kb3ducmV2LnhtbESPzarCMBSE94LvEI7g7prahWg1ihQE&#10;71K9Lro7NKc/2JyUJmp8+xtBcDnMzDfMZhdMJx40uNaygvksAUFcWt1yreDvcvhZgnAeWWNnmRS8&#10;yMFuOx5tMNP2ySd6nH0tIoRdhgoa7/tMSlc2ZNDNbE8cvcoOBn2UQy31gM8IN51Mk2QhDbYcFxrs&#10;KW+ovJ3vRsFvfiqOIVyL66vKU6xdqFY6KDWdhP0ahKfgv+FP+6gVpCt4f4k/QG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HCcl/AAAAA2wAAAA8AAAAAAAAAAAAAAAAA&#10;oQIAAGRycy9kb3ducmV2LnhtbFBLBQYAAAAABAAEAPkAAACOAwAAAAA=&#10;" strokecolor="#903" strokeweight="0"/>
                <v:line id="Line 28" o:spid="_x0000_s1051" style="position:absolute;visibility:visible;mso-wrap-style:square" from="4597,12719" to="5657,14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QwKsAAAADbAAAADwAAAGRycy9kb3ducmV2LnhtbERPTWsCMRC9F/wPYYTearYWpKxGkaIo&#10;FMGqB4/TZLpZTCbrJur235uD4PHxviezzjtxpTbWgRW8DwoQxDqYmisFh/3y7RNETMgGXWBS8E8R&#10;ZtPeywRLE278Q9ddqkQO4ViiAptSU0oZtSWPcRAa4sz9hdZjyrCtpGnxlsO9k8OiGEmPNecGiw19&#10;WdKn3cUrcGkrj/q3CPvFqun04my/N84q9drv5mMQibr0FD/ca6PgI6/P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GkMCrAAAAA2wAAAA8AAAAAAAAAAAAAAAAA&#10;oQIAAGRycy9kb3ducmV2LnhtbFBLBQYAAAAABAAEAPkAAACOAwAAAAA=&#10;" strokecolor="#903" strokeweight="0"/>
                <v:rect id="Rectangle 29" o:spid="_x0000_s1052" style="position:absolute;left:533;top:14306;width:674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E66470" w:rsidRDefault="00E6647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30" o:spid="_x0000_s1053" style="position:absolute;visibility:visible;mso-wrap-style:square" from="6007,11747" to="12636,11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A+xsMAAADbAAAADwAAAGRycy9kb3ducmV2LnhtbESPQYvCMBSE7wv+h/AEb2uqQlmqUVR0&#10;ES+y6sHjo3k2xealNNm2/nuzsOBxmJlvmMWqt5VoqfGlYwWTcQKCOHe65ELB9bL//ALhA7LGyjEp&#10;eJKH1XLwscBMu45/qD2HQkQI+wwVmBDqTEqfG7Lox64mjt7dNRZDlE0hdYNdhNtKTpMklRZLjgsG&#10;a9oayh/nX6vgcD/ubtfcfD/S7njZn1LT2mKj1GjYr+cgAvXhHf5vH7SC2RT+vsQfIJ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7QPsbDAAAA2wAAAA8AAAAAAAAAAAAA&#10;AAAAoQIAAGRycy9kb3ducmV2LnhtbFBLBQYAAAAABAAEAPkAAACRAwAAAAA=&#10;" strokecolor="#903" strokeweight="39e-5mm"/>
              </v:group>
            </w:pict>
          </mc:Fallback>
        </mc:AlternateContent>
      </w:r>
      <w:r w:rsidR="002D712A">
        <w:rPr>
          <w:b w:val="0"/>
          <w:bCs w:val="0"/>
        </w:rPr>
        <w:br w:type="page"/>
      </w:r>
      <w:r w:rsidR="002D712A">
        <w:lastRenderedPageBreak/>
        <w:t>Casos de Uso</w:t>
      </w:r>
      <w:bookmarkEnd w:id="9"/>
    </w:p>
    <w:p w:rsidR="002D712A" w:rsidRDefault="002D712A" w:rsidP="002D712A">
      <w:pPr>
        <w:pStyle w:val="Ttulo2"/>
      </w:pPr>
      <w:r>
        <w:rPr>
          <w:vanish/>
        </w:rPr>
        <w:t xml:space="preserve">UCS140 </w:t>
      </w:r>
      <w:bookmarkStart w:id="10" w:name="_Toc404182338"/>
      <w:r>
        <w:t xml:space="preserve">Incluir Parâmetro Licença Prêmio </w:t>
      </w:r>
      <w:r w:rsidR="00E66470">
        <w:t>Cargos Efetivos</w:t>
      </w:r>
      <w:bookmarkEnd w:id="10"/>
      <w:r>
        <w:t> 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11" w:name="_Toc192924558"/>
      <w:bookmarkStart w:id="12" w:name="_Toc404182339"/>
      <w:r>
        <w:t>Fluxo Básico – Regras para Concessão</w:t>
      </w:r>
      <w:bookmarkEnd w:id="11"/>
      <w:bookmarkEnd w:id="12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de manutenção de Parâmetros de Licença Prêmio Assiduidade no Órgão para Cargos Efetivos e seleciona </w:t>
      </w:r>
      <w:proofErr w:type="gramStart"/>
      <w:r>
        <w:t>a opção novo</w:t>
      </w:r>
      <w:proofErr w:type="gramEnd"/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formulário para preenchimento das informações com ‘tipo da licença’ selecionada na opção ‘Licença Prêmio’.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todas as carreiras do Órgão vigentes, considerando a data atual. (</w:t>
      </w:r>
      <w:r>
        <w:rPr>
          <w:dstrike/>
          <w:color w:val="FF0000"/>
        </w:rPr>
        <w:t xml:space="preserve">que não possui Regras de Licença Prêmio Assiduidade e com </w:t>
      </w:r>
      <w:proofErr w:type="gramStart"/>
      <w:r>
        <w:rPr>
          <w:dstrike/>
          <w:color w:val="FF0000"/>
        </w:rPr>
        <w:t>o ‘tipo da licença’ selecionada</w:t>
      </w:r>
      <w:proofErr w:type="gramEnd"/>
      <w:r>
        <w:t>).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todos os tipos de itens de carreiras, exceto o tipo igual Carreira.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de “Relações de trabalho do Órgão” vigentes na data atual.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de “Regimes de trabalho do Órgão” vigentes na data atual.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“Tempos normais”.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Carreira e tipo de item de carreira.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Itens de Carreiras do Órgão vigente na data atual que possui a Carreira selecionada (</w:t>
      </w:r>
      <w:r>
        <w:rPr>
          <w:dstrike/>
          <w:color w:val="FF0000"/>
        </w:rPr>
        <w:t xml:space="preserve">e que não possua histórico de Parâmetros de Licença Prêmio Assiduidade cadastrados para </w:t>
      </w:r>
      <w:proofErr w:type="gramStart"/>
      <w:r>
        <w:rPr>
          <w:dstrike/>
          <w:color w:val="FF0000"/>
        </w:rPr>
        <w:t>o ‘tipo da licença’ selecionada</w:t>
      </w:r>
      <w:proofErr w:type="gramEnd"/>
      <w:r>
        <w:rPr>
          <w:dstrike/>
          <w:color w:val="FF0000"/>
        </w:rPr>
        <w:t>)</w:t>
      </w:r>
      <w:r>
        <w:t xml:space="preserve">. 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Item de Carreira.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a regra de negócio RN09 “Verificar existência Parâmetro Licença Prêmio para o Item de Carreira”.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deve no preenchimento do formulário verificar se as informações inseridas estão de acordo com as definições descritas no item "Anexos - Validações de Campos do Formulário".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adiciona quantos </w:t>
      </w:r>
      <w:r>
        <w:rPr>
          <w:u w:val="single"/>
        </w:rPr>
        <w:t>Períodos Aquisitivos</w:t>
      </w:r>
      <w:r>
        <w:t xml:space="preserve"> desejar a lista de ‘Regras para Concessão da Licença Prêmio/assiduidade’.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adiciona quantos </w:t>
      </w:r>
      <w:r>
        <w:rPr>
          <w:u w:val="single"/>
        </w:rPr>
        <w:t>Dias Concedidos</w:t>
      </w:r>
      <w:r>
        <w:t xml:space="preserve"> desejar a lista ‘Dias Concedidos para Licença </w:t>
      </w:r>
      <w:proofErr w:type="spellStart"/>
      <w:r>
        <w:t>Prêmia</w:t>
      </w:r>
      <w:proofErr w:type="spellEnd"/>
      <w:r>
        <w:t>/assiduidade’.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prosseguir.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13" w:name="_Toc192924559"/>
      <w:bookmarkStart w:id="14" w:name="_Toc404182340"/>
      <w:r>
        <w:t>Fluxo Básico – Regras do Usufruto</w:t>
      </w:r>
      <w:bookmarkEnd w:id="13"/>
      <w:bookmarkEnd w:id="14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“</w:t>
      </w:r>
      <w:r>
        <w:rPr>
          <w:u w:val="single"/>
        </w:rPr>
        <w:t xml:space="preserve">Tipos de Unidades </w:t>
      </w:r>
      <w:r>
        <w:rPr>
          <w:u w:val="single"/>
        </w:rPr>
        <w:lastRenderedPageBreak/>
        <w:t>Organizacionais</w:t>
      </w:r>
      <w:r>
        <w:t>”</w:t>
      </w:r>
      <w:proofErr w:type="gramStart"/>
      <w:r>
        <w:t xml:space="preserve">  </w:t>
      </w:r>
      <w:proofErr w:type="gramEnd"/>
      <w:r>
        <w:t>não anuladas.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</w:t>
      </w:r>
      <w:r>
        <w:rPr>
          <w:u w:val="single"/>
        </w:rPr>
        <w:t>Períodos da suspensão do usufruto</w:t>
      </w:r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define as Regras de ausência injustificada para o usufruto da licença prêmio.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define as </w:t>
      </w:r>
      <w:r>
        <w:rPr>
          <w:u w:val="single"/>
        </w:rPr>
        <w:t>Regras para Data de Conquista para o usufruto</w:t>
      </w:r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define </w:t>
      </w:r>
      <w:r>
        <w:rPr>
          <w:u w:val="single"/>
        </w:rPr>
        <w:t>os Limitadores do usufruto</w:t>
      </w:r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determina o </w:t>
      </w:r>
      <w:r>
        <w:rPr>
          <w:u w:val="single"/>
        </w:rPr>
        <w:t>Quantitativo Mensal Máximo de Servidores Permitidos a Usufruir</w:t>
      </w:r>
      <w:r>
        <w:t xml:space="preserve"> a Licença Prêmio/assiduidade.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prosseguir.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deve no preenchimento do formulário verificar se as informações inseridas estão de acordo com as definições descritas no item "Anexos - Validações de Campos do Formulário".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15" w:name="_Toc192924560"/>
      <w:bookmarkStart w:id="16" w:name="_Toc404182341"/>
      <w:r>
        <w:t>Fluxo Básico</w:t>
      </w:r>
      <w:proofErr w:type="gramStart"/>
      <w:r>
        <w:t xml:space="preserve">  </w:t>
      </w:r>
      <w:proofErr w:type="gramEnd"/>
      <w:r>
        <w:t>- Regras da perda do usufruto</w:t>
      </w:r>
      <w:bookmarkEnd w:id="15"/>
      <w:bookmarkEnd w:id="16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formulário para preenchimento das regras da perda do usufruto.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define as </w:t>
      </w:r>
      <w:r>
        <w:rPr>
          <w:u w:val="single"/>
        </w:rPr>
        <w:t>Regras para Perda do Usufruto</w:t>
      </w:r>
      <w:r>
        <w:t xml:space="preserve"> da Licença Prêmio/assiduidade.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a regra “RN11: Verificar opção tipo percentual para quantitativo máximo”.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prosseguir.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deve no preenchimento do formulário verificar se as informações inseridas estão de acordo com as definições descritas no item "Anexos - Validações de Campos do Formulário".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17" w:name="_Toc404182342"/>
      <w:r>
        <w:t>Fluxo Básico</w:t>
      </w:r>
      <w:proofErr w:type="gramStart"/>
      <w:r>
        <w:t xml:space="preserve">  </w:t>
      </w:r>
      <w:proofErr w:type="gramEnd"/>
      <w:r>
        <w:t>- Regras da perda do usufruto</w:t>
      </w:r>
      <w:bookmarkEnd w:id="17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formulário para preenchimento das regras da perda do usufruto.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define as </w:t>
      </w:r>
      <w:r>
        <w:rPr>
          <w:u w:val="single"/>
        </w:rPr>
        <w:t>Regras para Perda do Usufruto</w:t>
      </w:r>
      <w:r>
        <w:t xml:space="preserve"> da Licença Prêmio/assiduidade.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prosseguir.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deve no preenchimento do formulário verificar se as informações inseridas estão de acordo com as definições descritas no item "Anexos - Validações de Campos do Formulário".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18" w:name="_Toc192924561"/>
      <w:bookmarkStart w:id="19" w:name="_Toc404182343"/>
      <w:r>
        <w:t>Fluxo Básico</w:t>
      </w:r>
      <w:proofErr w:type="gramStart"/>
      <w:r>
        <w:t xml:space="preserve">  </w:t>
      </w:r>
      <w:proofErr w:type="gramEnd"/>
      <w:r>
        <w:t>- Regras da indenização</w:t>
      </w:r>
      <w:bookmarkEnd w:id="18"/>
      <w:bookmarkEnd w:id="19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formulário para preenchimento das regras da indenização.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define os </w:t>
      </w:r>
      <w:r>
        <w:rPr>
          <w:u w:val="single"/>
        </w:rPr>
        <w:t>Períodos da suspensão da indenização.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define as </w:t>
      </w:r>
      <w:r>
        <w:rPr>
          <w:u w:val="single"/>
        </w:rPr>
        <w:t>Regras para Indenização</w:t>
      </w:r>
      <w:r>
        <w:t xml:space="preserve"> da Licença Prêmio/Assiduidade.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define os </w:t>
      </w:r>
      <w:r>
        <w:rPr>
          <w:u w:val="single"/>
        </w:rPr>
        <w:t>Períodos de meses permitidos para pagamento da indenização.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ator, após informar os dados acima, submete a operação </w:t>
      </w:r>
      <w:r>
        <w:lastRenderedPageBreak/>
        <w:t>de inclusão.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20" w:name="_Toc192924562"/>
      <w:bookmarkStart w:id="21" w:name="_Toc404182344"/>
      <w:r>
        <w:t>Fluxo Básico</w:t>
      </w:r>
      <w:proofErr w:type="gramStart"/>
      <w:r>
        <w:t xml:space="preserve">  </w:t>
      </w:r>
      <w:proofErr w:type="gramEnd"/>
      <w:r>
        <w:t>- Inclusão das Informações</w:t>
      </w:r>
      <w:bookmarkEnd w:id="20"/>
      <w:bookmarkEnd w:id="21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As atualizações a seguir, devem respeitar a definição descrita no item “Anexos – Gerenciamento de vigências</w:t>
      </w:r>
      <w:proofErr w:type="gramStart"/>
      <w:r>
        <w:t>”</w:t>
      </w:r>
      <w:proofErr w:type="gramEnd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As atualizações a seguir, devem respeitar a definição descrita no item “Anexos – Gerenciamento de vigências</w:t>
      </w:r>
      <w:proofErr w:type="gramStart"/>
      <w:r>
        <w:t>”</w:t>
      </w:r>
      <w:proofErr w:type="gramEnd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um registro de </w:t>
      </w:r>
      <w:r>
        <w:rPr>
          <w:u w:val="single"/>
        </w:rPr>
        <w:t>Parâmetros de Licença Prêmio/Assiduidade do Órgão</w:t>
      </w:r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as </w:t>
      </w:r>
      <w:r>
        <w:rPr>
          <w:u w:val="single"/>
        </w:rPr>
        <w:t>Regras para Concessão do(s) Período(s) Aquisitivo(s)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as </w:t>
      </w:r>
      <w:r>
        <w:rPr>
          <w:u w:val="single"/>
        </w:rPr>
        <w:t>Relações de Trabalho das Regras para Concessão dos Períodos Aquisitivos</w:t>
      </w:r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os</w:t>
      </w:r>
      <w:proofErr w:type="gramStart"/>
      <w:r>
        <w:t xml:space="preserve">  </w:t>
      </w:r>
      <w:proofErr w:type="gramEnd"/>
      <w:r>
        <w:rPr>
          <w:u w:val="single"/>
        </w:rPr>
        <w:t>Regimes de Trabalho das Regras para Concessão dos Períodos Aquisitivos</w:t>
      </w:r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os Tempos Normais </w:t>
      </w:r>
      <w:r>
        <w:rPr>
          <w:u w:val="single"/>
        </w:rPr>
        <w:t>das Regras para Concessão dos Períodos Aquisitivos.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incluir a </w:t>
      </w:r>
      <w:r>
        <w:rPr>
          <w:u w:val="single"/>
        </w:rPr>
        <w:t>Quantidade de Dias Concedidos</w:t>
      </w:r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u w:val="single"/>
        </w:rPr>
      </w:pPr>
      <w:r>
        <w:t xml:space="preserve">O sistema inclui os </w:t>
      </w:r>
      <w:r>
        <w:rPr>
          <w:u w:val="single"/>
        </w:rPr>
        <w:t>Períodos de Suspensão das Regras do Usufruto.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incluir os </w:t>
      </w:r>
      <w:r>
        <w:rPr>
          <w:u w:val="single"/>
        </w:rPr>
        <w:t>limites de faltas para perder/prorrogar</w:t>
      </w:r>
      <w:r>
        <w:t xml:space="preserve"> o período aquisitivo.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as </w:t>
      </w:r>
      <w:r>
        <w:rPr>
          <w:u w:val="single"/>
        </w:rPr>
        <w:t>Regras de Ausência Injustificada</w:t>
      </w:r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as </w:t>
      </w:r>
      <w:r>
        <w:rPr>
          <w:u w:val="single"/>
        </w:rPr>
        <w:t>Regras de Usufruto da Licença Prêmio/Assiduidade.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u w:val="single"/>
        </w:rPr>
      </w:pPr>
      <w:r>
        <w:t xml:space="preserve">O sistema inclui </w:t>
      </w:r>
      <w:proofErr w:type="gramStart"/>
      <w:r>
        <w:t xml:space="preserve">os </w:t>
      </w:r>
      <w:r>
        <w:rPr>
          <w:u w:val="single"/>
        </w:rPr>
        <w:t>Tipo</w:t>
      </w:r>
      <w:proofErr w:type="gramEnd"/>
      <w:r>
        <w:rPr>
          <w:u w:val="single"/>
        </w:rPr>
        <w:t xml:space="preserve"> de Unidades Organizacionais como Limitadores de Usufruto.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u w:val="single"/>
        </w:rPr>
      </w:pPr>
      <w:r>
        <w:t xml:space="preserve">O sistema inclui o </w:t>
      </w:r>
      <w:r>
        <w:rPr>
          <w:u w:val="single"/>
        </w:rPr>
        <w:t>Quadro Mensal Máximo de Servidores Permitidos a Usufruir a Licença Prêmio.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as </w:t>
      </w:r>
      <w:r>
        <w:rPr>
          <w:u w:val="single"/>
        </w:rPr>
        <w:t>Regras para Perda do Usufruto</w:t>
      </w:r>
      <w:r>
        <w:t xml:space="preserve"> da Licença Prêmio/assiduidade.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os </w:t>
      </w:r>
      <w:r>
        <w:rPr>
          <w:u w:val="single"/>
        </w:rPr>
        <w:t>Períodos da suspensão da indenização.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as </w:t>
      </w:r>
      <w:r>
        <w:rPr>
          <w:u w:val="single"/>
        </w:rPr>
        <w:t>Regras para Indenização</w:t>
      </w:r>
      <w:r>
        <w:t xml:space="preserve"> da Licença Prêmio/Assiduidade.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os </w:t>
      </w:r>
      <w:r>
        <w:rPr>
          <w:u w:val="single"/>
        </w:rPr>
        <w:t>Períodos de meses permitidos para pagamento da indenização.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inclui as informações de </w:t>
      </w:r>
      <w:r>
        <w:rPr>
          <w:u w:val="single"/>
        </w:rPr>
        <w:t>Documento</w:t>
      </w:r>
      <w:r>
        <w:t>, caso tenha sido informada, considerando o documento por tipo de regra recebido.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22" w:name="_Toc404182345"/>
      <w:r>
        <w:t>Fluxo Alternativo – Seleciona uma nova Carreira</w:t>
      </w:r>
      <w:bookmarkEnd w:id="22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Carreira e um tipo de carreira.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os Itens de Carreiras do Órgão vigente na data atual que possui a Carreira selecionada e que não possua histórico de Parâmetros de Licença </w:t>
      </w:r>
      <w:r>
        <w:lastRenderedPageBreak/>
        <w:t xml:space="preserve">Prêmio Assiduidade cadastrados para </w:t>
      </w:r>
      <w:proofErr w:type="gramStart"/>
      <w:r>
        <w:t>o ‘tipo da licença’ selecionada</w:t>
      </w:r>
      <w:proofErr w:type="gramEnd"/>
      <w:r>
        <w:t xml:space="preserve">. 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todos os Itens de Carreira ativos, subordinados à Carreira. Consultar o conceito Estrutura de Carreira para identificar os Itens subordinados.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23" w:name="_Toc404182346"/>
      <w:r>
        <w:t>Fluxo Alternativo – Seleciona um novo Tipo de licença</w:t>
      </w:r>
      <w:bookmarkEnd w:id="23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 o tipo da licença.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fluxo básico – regras para concessão novamente para atualizar as informações de Carreira/Item de Carreira.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24" w:name="_Toc192924563"/>
      <w:bookmarkStart w:id="25" w:name="_Toc404182347"/>
      <w:r>
        <w:t>Fluxo Alternativo</w:t>
      </w:r>
      <w:proofErr w:type="gramStart"/>
      <w:r>
        <w:t xml:space="preserve">  </w:t>
      </w:r>
      <w:proofErr w:type="gramEnd"/>
      <w:r>
        <w:t>- Pesquisa Auxiliar de Rubricas</w:t>
      </w:r>
      <w:bookmarkEnd w:id="24"/>
      <w:bookmarkEnd w:id="25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pesquisa rubricas.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‘Pesquisa Auxiliar de Rubricas do Órgão’.</w:t>
      </w:r>
    </w:p>
    <w:p w:rsidR="002D712A" w:rsidRDefault="002D712A" w:rsidP="002D712A">
      <w:pPr>
        <w:pStyle w:val="Ttulo2"/>
      </w:pPr>
      <w:r>
        <w:rPr>
          <w:vanish/>
        </w:rPr>
        <w:t>1.2.</w:t>
      </w:r>
      <w:r>
        <w:rPr>
          <w:vanish/>
        </w:rPr>
        <w:tab/>
        <w:t xml:space="preserve">UCS91 UCS139 </w:t>
      </w:r>
      <w:bookmarkStart w:id="26" w:name="_Toc404182348"/>
      <w:r>
        <w:t xml:space="preserve">Alterar </w:t>
      </w:r>
      <w:r w:rsidR="00E66470">
        <w:t>Parâmetro Licença Prêmio Cargos Efetivos</w:t>
      </w:r>
      <w:bookmarkEnd w:id="26"/>
      <w:r>
        <w:t> 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27" w:name="_Toc404182349"/>
      <w:r>
        <w:t>Fluxo Básico - Regras para Concessão</w:t>
      </w:r>
      <w:bookmarkEnd w:id="27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executa o caso de uso “Listar Parâmetro da Licença Prêmio Assiduidade na Carreira”, identifica um item e seleciona a opção de alteração referente a Regras para Concessão.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recebe a identificação da Licença Prêmio </w:t>
      </w:r>
      <w:proofErr w:type="gramStart"/>
      <w:r>
        <w:t>Carreira</w:t>
      </w:r>
      <w:proofErr w:type="gramEnd"/>
      <w:r>
        <w:t xml:space="preserve"> selecionada.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as informações da lista ‘Regras para Concessão da Licença Prêmio/assiduidade’, executando o caso de uso Consultar Regras de Concessão”, passando a identificação da Licença Prêmio Carreira </w:t>
      </w:r>
      <w:proofErr w:type="gramStart"/>
      <w:r>
        <w:t>recebida</w:t>
      </w:r>
      <w:proofErr w:type="gramEnd"/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as informações da lista ‘Dias Concedidos para Licença Prêmio/assiduidade’, executando o caso de uso Consultar Parâmetros de Dias Concedidos, passando a identificação do da Licença Prêmio Carreira </w:t>
      </w:r>
      <w:proofErr w:type="gramStart"/>
      <w:r>
        <w:t>recebida</w:t>
      </w:r>
      <w:proofErr w:type="gramEnd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de “Relações de trabalho do Órgão” vigentes na data atual.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“</w:t>
      </w:r>
      <w:r>
        <w:rPr>
          <w:u w:val="single"/>
        </w:rPr>
        <w:t>Regimes de trabalho do Órgão</w:t>
      </w:r>
      <w:r>
        <w:t>” vigentes, considerando a data atual.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“</w:t>
      </w:r>
      <w:r>
        <w:rPr>
          <w:u w:val="single"/>
        </w:rPr>
        <w:t>Tempos normais</w:t>
      </w:r>
      <w:r>
        <w:t>”, cadastrados no sistema.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as informações do Documento registrado para Concessão, executando o caso de uso "Consultar Documento da Licença Prêmio Assiduidade", passando a identificação do da Licença Prêmio </w:t>
      </w:r>
      <w:r>
        <w:lastRenderedPageBreak/>
        <w:t>Assiduidade recebida e o tipo de regra.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deve no preenchimento do formulário verificar se as informações inseridas estão de acordo com as definições descritas no item "Anexos - Validações de Campos do Formulário".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as informações, escolhe o tipo de vigência e submete a operação para atualização no banco de dados.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vigência conforme as regras de negócios: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RN02: Verificar se é a última vigência para retificação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RN03: Verificar data inicial da retificação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RN04: Continuar Vigência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RN05: Nova vigência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regra de negócio RN06: Verificar existência de Períodos Aquisitivos Previstos.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As atualizações a seguir, devem respeitar a definição descrita no item “Anexos – Gerenciamento de vigências</w:t>
      </w:r>
      <w:proofErr w:type="gramStart"/>
      <w:r>
        <w:t>”</w:t>
      </w:r>
      <w:proofErr w:type="gramEnd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o conceito Parâmetros de Licença Prêmio/Assiduidade do Órgão.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Regras para Concessão do(s) Período(s) Aquisitivo(s)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Relações de Trabalho das Regras para Concessão dos Períodos Aquisitivos.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os</w:t>
      </w:r>
      <w:proofErr w:type="gramStart"/>
      <w:r>
        <w:t xml:space="preserve">  </w:t>
      </w:r>
      <w:proofErr w:type="gramEnd"/>
      <w:r>
        <w:t>Regimes de Trabalho das Regras para Concessão dos Períodos Aquisitivos.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os Tempos Normais das Regras para Concessão dos Períodos Aquisitivos.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 Quantidade de Dias Concedidos.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informações de Documento para a Regra para Concessão.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28" w:name="_Toc192924566"/>
      <w:bookmarkStart w:id="29" w:name="_Toc404182350"/>
      <w:r>
        <w:t>Fluxo Básico – Regras do Usufruto</w:t>
      </w:r>
      <w:bookmarkEnd w:id="28"/>
      <w:bookmarkEnd w:id="29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executa o caso de uso “Listar Parâmetro da Licença Prêmio Assiduidade no Órgão”, identifica um item e seleciona a opção de alteração de </w:t>
      </w:r>
      <w:r>
        <w:rPr>
          <w:u w:val="single"/>
        </w:rPr>
        <w:t>Regras do Usufruto</w:t>
      </w:r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as informações da lista ‘Regras para suspensão do usufruto’, executando o caso de uso “Consultar Regras de Usufruto – Suspensão”, passando a identificação da </w:t>
      </w:r>
      <w:proofErr w:type="spellStart"/>
      <w:proofErr w:type="gramStart"/>
      <w:r>
        <w:t>LicençaPrêmio</w:t>
      </w:r>
      <w:proofErr w:type="spellEnd"/>
      <w:proofErr w:type="gramEnd"/>
      <w:r>
        <w:t xml:space="preserve"> Assiduidade recebida.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as informações Limite de dias de falta para não perder período aquisitivo e /para não prorrogar o período aquisitivo, executando o caso de uso "Consultar Regra Ausência Falta Limite para Usufruto", passando a </w:t>
      </w:r>
      <w:r>
        <w:lastRenderedPageBreak/>
        <w:t xml:space="preserve">identificação da </w:t>
      </w:r>
      <w:proofErr w:type="spellStart"/>
      <w:proofErr w:type="gramStart"/>
      <w:r>
        <w:t>LicençaPrêmio</w:t>
      </w:r>
      <w:proofErr w:type="spellEnd"/>
      <w:proofErr w:type="gramEnd"/>
      <w:r>
        <w:t xml:space="preserve"> Assiduidade recebida.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as informações da lista 'Regra de ausência injustificada', executando o caso de uso "Consultar Regra Ausência Falta para Usufruto”, passando a identificação da </w:t>
      </w:r>
      <w:proofErr w:type="spellStart"/>
      <w:proofErr w:type="gramStart"/>
      <w:r>
        <w:t>LicençaPrêmio</w:t>
      </w:r>
      <w:proofErr w:type="spellEnd"/>
      <w:proofErr w:type="gramEnd"/>
      <w:r>
        <w:t xml:space="preserve"> Assiduidade recebida.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as informações da lista 'Regras para Data de Conquista', executando o caso de uso "Consultar Regras de Usufruto", passando a identificação da </w:t>
      </w:r>
      <w:proofErr w:type="spellStart"/>
      <w:proofErr w:type="gramStart"/>
      <w:r>
        <w:t>LicençaPrêmio</w:t>
      </w:r>
      <w:proofErr w:type="spellEnd"/>
      <w:proofErr w:type="gramEnd"/>
      <w:r>
        <w:t xml:space="preserve"> Assiduidade recebida.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proofErr w:type="gramStart"/>
      <w:r>
        <w:t>O sistema apresenta as informações da lista 'Tipo de Unidade para aplicação dos limitadores', executando o caso de uso 'Consultar os Tipo de Unidades Organizacionais como Limitadores de Usufruto'”</w:t>
      </w:r>
      <w:proofErr w:type="gramEnd"/>
      <w:r>
        <w:t xml:space="preserve">, passando a identificação da </w:t>
      </w:r>
      <w:proofErr w:type="spellStart"/>
      <w:r>
        <w:t>LicençaPrêmio</w:t>
      </w:r>
      <w:proofErr w:type="spellEnd"/>
      <w:r>
        <w:t xml:space="preserve"> Assiduidade recebida.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da lista 'Tipo de Unidade Organizacional', consultando no conceito Tipo Unidade Organizacional, considerando os ativos e que Não foram associados.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as informações da lista 'Quantitativo Mensal Máximo de Servidores Permitidos a Usufruir a Licença Prêmio/assiduidade', executando o caso de uso "Consultar o Quadro Mensal Máximo de Servidores Permitidos a Usufruir". 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do Documento registrado para usufruto, executando o caso de uso "Consultar Documento da Licença Prêmio Assiduidade", passando a identificação do da Licença Prêmio Assiduidade recebida e o tipo de regra.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deve no preenchimento do formulário verificar se as informações inseridas estão de acordo com as definições descritas no item "Anexos - Validações de Campos do Formulário" e com a RN11: Verificar opção tipo percentual para Quantitativo Máximo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as informações, escolhe o tipo de vigência e submete a operação para atualização no banco de dados.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vigência conforme as regras de negócios: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RN02: Verificar se é a última vigência para retificação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RN03: Verificar data inicial da retificação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RN04: Continuar Vigência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RN05: Nova vigência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As atualizações a seguir, devem respeitar a definição descrita no item “Anexos – Gerenciamento de vigências</w:t>
      </w:r>
      <w:proofErr w:type="gramStart"/>
      <w:r>
        <w:t>”</w:t>
      </w:r>
      <w:proofErr w:type="gramEnd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regra de negócio RN07: Verificar existência de Períodos Aquisitivos Conquistados.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atualiza os Períodos de Suspensão das Regras do Usufruto mantidas pelo ator.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atualiza os limites de faltas para perder/prorrogar o período </w:t>
      </w:r>
      <w:proofErr w:type="gramStart"/>
      <w:r>
        <w:t>aquisitivo mantidas pelo ator</w:t>
      </w:r>
      <w:proofErr w:type="gramEnd"/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Regras de Ausência Injustificada mantidas pelo ator.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‘Regras de Usufruto da Licença Prêmio/Assiduidade’ mantidas pelo ator.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atualiza </w:t>
      </w:r>
      <w:proofErr w:type="gramStart"/>
      <w:r>
        <w:t>os Tipo</w:t>
      </w:r>
      <w:proofErr w:type="gramEnd"/>
      <w:r>
        <w:t xml:space="preserve"> de Unidades Organizacionais como Limitadores de Usufruto.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o Quadro Mensal Máximo de Servidores Permitidos a Usufruir a Licença Prêmio.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informações de Documento para a Regra do Usufruto.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30" w:name="_Toc192924567"/>
      <w:bookmarkStart w:id="31" w:name="_Toc404182351"/>
      <w:r>
        <w:t>Fluxo Básico</w:t>
      </w:r>
      <w:proofErr w:type="gramStart"/>
      <w:r>
        <w:t xml:space="preserve">  </w:t>
      </w:r>
      <w:proofErr w:type="gramEnd"/>
      <w:r>
        <w:t>- Regras da Perda do Usufruto</w:t>
      </w:r>
      <w:bookmarkEnd w:id="30"/>
      <w:bookmarkEnd w:id="31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executa o caso de uso “Listar Parâmetro da Licença Prêmio Assiduidade no Órgão”, identifica um item e seleciona a opção de alteração de </w:t>
      </w:r>
      <w:r>
        <w:rPr>
          <w:u w:val="single"/>
        </w:rPr>
        <w:t>Regras da perda do usufruto</w:t>
      </w:r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da lista 'Regras para perda do usufruto da licença prêmio/assiduidade', executando</w:t>
      </w:r>
      <w:proofErr w:type="gramStart"/>
      <w:r>
        <w:t xml:space="preserve">  </w:t>
      </w:r>
      <w:proofErr w:type="gramEnd"/>
      <w:r>
        <w:t>o caso de uso "Consultar Regras para Perda Usufruto".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do Documento registrado para regras da perda do usufruto, executando o caso de uso "Consultar Documento da Licença Prêmio Assiduidade", passando a identificação do da Licença Prêmio Assiduidade recebida e o tipo de regra.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deve no preenchimento do formulário verificar se as informações inseridas estão de acordo com as definições descritas no item "Anexos - Validações de Campos do Formulário".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atualiza as informações, escolhe uma opção de vigência e submete a operação para atualização no banco de dados.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As atualizações a seguir, devem respeitar a definição descrita no item “Anexos – Gerenciamento de vigências</w:t>
      </w:r>
      <w:proofErr w:type="gramStart"/>
      <w:r>
        <w:t>”</w:t>
      </w:r>
      <w:proofErr w:type="gramEnd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Regras para Perda do Usufruto da Licença Prêmio/assiduidade.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informações de Documento para a Regra para perda do usufruto.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32" w:name="_Toc192924568"/>
      <w:bookmarkStart w:id="33" w:name="_Toc404182352"/>
      <w:r>
        <w:t>Fluxo Básico</w:t>
      </w:r>
      <w:proofErr w:type="gramStart"/>
      <w:r>
        <w:t xml:space="preserve">  </w:t>
      </w:r>
      <w:proofErr w:type="gramEnd"/>
      <w:r>
        <w:t>- Regras da Indenização</w:t>
      </w:r>
      <w:bookmarkEnd w:id="32"/>
      <w:bookmarkEnd w:id="33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executa o caso de uso “Listar Parâmetro da Licença </w:t>
      </w:r>
      <w:r>
        <w:lastRenderedPageBreak/>
        <w:t xml:space="preserve">Prêmio Assiduidade no Órgão”, identifica um item e seleciona a opção de alteração de </w:t>
      </w:r>
      <w:r>
        <w:rPr>
          <w:u w:val="single"/>
        </w:rPr>
        <w:t>Regras da indenização</w:t>
      </w:r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da lista 'Período da suspensão da indenização', executando o caso de uso "Consultar Período Suspenso de Indenização", passando a identificação da Licença Prêmio Assiduidade.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da lista 'Regras para Indenização da Licença Prêmio/Assiduidade', executando o caso de uso "Consultar Regras de Indenização", passando a identificação da Licença Prêmio Assiduidade.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da lista 'Períodos de meses permitidos para pagamento', executando o caso de uso "Consultar Meses Pagamentos Permitidos para Indenização", passando a identificação da Licença Prêmio Assiduidade.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as informações do Documento registrado para regras de indenização, executando o caso de uso "Consultar Documento da Licença Prêmio Assiduidade", passando a identificação do da Licença Prêmio Assiduidade recebida e o tipo de regra.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atualiza as informações, escolhe o tipo de vigência e submete a operação para atualização no banco de dados.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vigência conforme as regras de negócios: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RN02: Verificar se é a última vigência para retificação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RN03: Verificar data inicial da retificação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RN04: Continuar Vigência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RN05: Nova vigência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As atualizações a seguir, devem respeitar a definição descrita no item “Anexos – Gerenciamento de vigências</w:t>
      </w:r>
      <w:proofErr w:type="gramStart"/>
      <w:r>
        <w:t>”</w:t>
      </w:r>
      <w:proofErr w:type="gramEnd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informações dos Períodos da suspensão da indenização.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Regras para Indenização da Licença Prêmio/Assiduidade.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os Períodos de meses permitidos para pagamento da indenização.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atualiza as informações de Documento para a Regra de indenização.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2D712A" w:rsidRDefault="002D712A" w:rsidP="002D712A">
      <w:pPr>
        <w:pStyle w:val="Ttulo2"/>
      </w:pPr>
      <w:r>
        <w:rPr>
          <w:vanish/>
        </w:rPr>
        <w:t xml:space="preserve">UCS138 </w:t>
      </w:r>
      <w:bookmarkStart w:id="34" w:name="_Toc404182353"/>
      <w:r>
        <w:t xml:space="preserve">Excluir </w:t>
      </w:r>
      <w:r w:rsidR="00E66470">
        <w:t>Parâmetro Licença Prêmio Cargos Efetivos</w:t>
      </w:r>
      <w:bookmarkEnd w:id="34"/>
      <w:r>
        <w:t> 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35" w:name="_Toc404182354"/>
      <w:r>
        <w:lastRenderedPageBreak/>
        <w:t>Fluxo Básico</w:t>
      </w:r>
      <w:bookmarkEnd w:id="35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proofErr w:type="gramStart"/>
      <w:r>
        <w:t>O ator executa o caso de uso “Listar Parâmetro da Licença Prêmio na Carreira”, identifica um item e seleciona a opção Excluir”</w:t>
      </w:r>
      <w:proofErr w:type="gramEnd"/>
      <w:r>
        <w:t>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conforme as regras de negócios listadas abaixo, definidas no item “Anexos – Regras de Negócios”.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RN01: Verificar se é a última vigência para exclusão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RN06: Verificar existência de Períodos Aquisitivos Previsto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RN07: Verificar existência de Períodos Aquisitivos Conquistados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ab/>
      </w:r>
      <w:r>
        <w:tab/>
        <w:t>RN08: Verificar existência de Períodos Aquisitivos Perdidos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a vigência do “Parâmetro de Licença Prêmio no Órgão”</w:t>
      </w:r>
      <w:proofErr w:type="gramStart"/>
      <w:r>
        <w:t xml:space="preserve">  </w:t>
      </w:r>
      <w:proofErr w:type="gramEnd"/>
      <w:r>
        <w:t>e os conceitos associados, conforme a definição descrita no item “Anexos – Gerenciamento de vigências”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2D712A" w:rsidRDefault="002D712A" w:rsidP="002D712A">
      <w:pPr>
        <w:pStyle w:val="Ttulo2"/>
      </w:pPr>
      <w:r>
        <w:rPr>
          <w:vanish/>
        </w:rPr>
        <w:t>1.4.</w:t>
      </w:r>
      <w:r>
        <w:rPr>
          <w:vanish/>
        </w:rPr>
        <w:tab/>
        <w:t xml:space="preserve">UCS94 UCS137 </w:t>
      </w:r>
      <w:bookmarkStart w:id="36" w:name="_Toc404182355"/>
      <w:r>
        <w:t xml:space="preserve">Listar </w:t>
      </w:r>
      <w:r w:rsidR="00E66470">
        <w:t>Parâmetro Licença Prêmio Cargos Efetivos</w:t>
      </w:r>
      <w:bookmarkEnd w:id="36"/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37" w:name="_Toc404182356"/>
      <w:r>
        <w:t>Fluxo Básico</w:t>
      </w:r>
      <w:bookmarkEnd w:id="37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Parâmetro Licença Prêmio na Carreira.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formulário de pesquisa, permitindo o ator realizar uma pesquisa de parâmetros de licença prêmio ou Prêmio assiduidade, a partir uma Carreira/Item de Carreira.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todas as Carreiras do Órgão ativas e vigentes.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todos os tipos de Item de Carreiras cadastrados no sistema, exceto a Carreira.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Carreira e o tipo do item de carreira.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todos os Itens de Carreiras associados </w:t>
      </w:r>
      <w:proofErr w:type="gramStart"/>
      <w:r>
        <w:t>a</w:t>
      </w:r>
      <w:proofErr w:type="gramEnd"/>
      <w:r>
        <w:t xml:space="preserve"> Carreira para o tipo de item informado.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vigência e submete a operação de pesquisa.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Parâmetros da Licença Prêmio Assiduidade, conforme os filtros de pesquisa informados, podendo apresentar todos ou somente o vigente, para o Órgão e</w:t>
      </w:r>
      <w:proofErr w:type="gramStart"/>
      <w:r>
        <w:t xml:space="preserve">  </w:t>
      </w:r>
      <w:proofErr w:type="gramEnd"/>
      <w:r>
        <w:t>(Carreira ou Item de Carreira) informada.</w:t>
      </w: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38" w:name="_Toc404182357"/>
      <w:r>
        <w:lastRenderedPageBreak/>
        <w:t>Fluxo Alternativo</w:t>
      </w:r>
      <w:bookmarkEnd w:id="38"/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Carreira e um tipo de carreira.</w:t>
      </w:r>
    </w:p>
    <w:p w:rsidR="002D712A" w:rsidRDefault="002D712A" w:rsidP="002D712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todos os Itens de Carreiras associados à Carreira para o tipo de item informado.</w:t>
      </w:r>
    </w:p>
    <w:p w:rsidR="002D712A" w:rsidRDefault="002D712A" w:rsidP="002D712A">
      <w:pPr>
        <w:pStyle w:val="Ttulo4"/>
        <w:numPr>
          <w:ilvl w:val="0"/>
          <w:numId w:val="0"/>
        </w:numPr>
        <w:ind w:left="2160" w:hanging="1080"/>
      </w:pPr>
    </w:p>
    <w:p w:rsidR="002D712A" w:rsidRDefault="002D712A" w:rsidP="002D712A">
      <w:pPr>
        <w:pStyle w:val="Ttulo4"/>
        <w:numPr>
          <w:ilvl w:val="0"/>
          <w:numId w:val="0"/>
        </w:numPr>
        <w:ind w:left="2160" w:hanging="1080"/>
      </w:pPr>
    </w:p>
    <w:p w:rsidR="002D712A" w:rsidRDefault="002D712A" w:rsidP="002D712A">
      <w:pPr>
        <w:pStyle w:val="Recuodecorpodetexto"/>
      </w:pPr>
    </w:p>
    <w:p w:rsidR="002D712A" w:rsidRDefault="002D712A" w:rsidP="002D712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9" w:name="_Toc404182358"/>
      <w:r>
        <w:lastRenderedPageBreak/>
        <w:t>Anexos</w:t>
      </w:r>
      <w:bookmarkEnd w:id="39"/>
    </w:p>
    <w:p w:rsidR="002D712A" w:rsidRDefault="002D712A" w:rsidP="002D712A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40" w:name="_Toc404182359"/>
      <w:r>
        <w:t>Regras de Negócios</w:t>
      </w:r>
      <w:bookmarkEnd w:id="40"/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41" w:name="_Toc404182360"/>
      <w:r>
        <w:t>RN01: Verificar se é a última vigência para exclusão</w:t>
      </w:r>
      <w:bookmarkEnd w:id="41"/>
    </w:p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>O sistema verifica se é a última vigência, pois, somente a última vigência é permitida excluir. Mensagem de exceção: MSG0597 “É permitido excluir apenas o &lt;nome do conceito&gt; da última vigência ativa”.</w:t>
      </w:r>
    </w:p>
    <w:p w:rsidR="002D712A" w:rsidRDefault="002D712A" w:rsidP="002D712A">
      <w:pPr>
        <w:rPr>
          <w:rFonts w:cs="Arial"/>
        </w:rPr>
      </w:pP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42" w:name="_Toc404182361"/>
      <w:r>
        <w:t>RN02: Verificar se é a última vigência para retificação</w:t>
      </w:r>
      <w:bookmarkEnd w:id="42"/>
    </w:p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 xml:space="preserve">O sistema verifica se é a última vigência, pois, somente a última vigência é permitida retificar. Mensagem de exceção: MSG618 “Não é </w:t>
      </w:r>
      <w:proofErr w:type="spellStart"/>
      <w:r>
        <w:rPr>
          <w:rFonts w:cs="Arial"/>
        </w:rPr>
        <w:t>possivel</w:t>
      </w:r>
      <w:proofErr w:type="spellEnd"/>
      <w:r>
        <w:rPr>
          <w:rFonts w:cs="Arial"/>
        </w:rPr>
        <w:t xml:space="preserve"> &lt;</w:t>
      </w:r>
      <w:proofErr w:type="spellStart"/>
      <w:r>
        <w:rPr>
          <w:rFonts w:cs="Arial"/>
        </w:rPr>
        <w:t>nome_operacao</w:t>
      </w:r>
      <w:proofErr w:type="spellEnd"/>
      <w:r>
        <w:rPr>
          <w:rFonts w:cs="Arial"/>
        </w:rPr>
        <w:t>&gt; uma vigência que não seja a última vigência ativa.".</w:t>
      </w:r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43" w:name="_Toc404182362"/>
      <w:r>
        <w:t>RN03: Verificar data inicial da retificação</w:t>
      </w:r>
      <w:bookmarkEnd w:id="43"/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>O sistema verifica, na alteração do tipo retificação, se a data inicial é superior à data inicial da vigência anterior ativa. Caso não seja o sistema exibe a mensagem MSG0831: “A data inicial da vigência deve ser maior que a data inicial da vigência anterior ativa.</w:t>
      </w:r>
      <w:proofErr w:type="gramStart"/>
      <w:r>
        <w:rPr>
          <w:rFonts w:cs="Arial"/>
        </w:rPr>
        <w:t>”</w:t>
      </w:r>
      <w:proofErr w:type="gramEnd"/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44" w:name="_Toc404182363"/>
      <w:r>
        <w:t>RN04: Continuar Vigência</w:t>
      </w:r>
      <w:bookmarkEnd w:id="44"/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>O sistema verifica, na alteração do tipo continuar vigência, se a data inicial foi alterada, não é permitido. Caso tenha alterado, o sistema exibe a mensagem MSG0612: “A data inicial da vigência não deve ser alterada quando a opção de continuar alteração é selecionada</w:t>
      </w:r>
      <w:proofErr w:type="gramStart"/>
      <w:r>
        <w:rPr>
          <w:rFonts w:cs="Arial"/>
        </w:rPr>
        <w:t>”</w:t>
      </w:r>
      <w:proofErr w:type="gramEnd"/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45" w:name="_Toc404182364"/>
      <w:r>
        <w:lastRenderedPageBreak/>
        <w:t>RN05: Nova vigência</w:t>
      </w:r>
      <w:bookmarkEnd w:id="45"/>
    </w:p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>O sistema verifica, na alteração do tipo “criar nova vigência”, se a data inicial informada é maior que a data inicial da última vigência. Caso não seja, o sistema exibe a mensagem MSG0831 “A data inicial da vigência deve ser maior que a data inicial da vigência anterior ativa</w:t>
      </w:r>
      <w:proofErr w:type="gramStart"/>
      <w:r>
        <w:rPr>
          <w:rFonts w:cs="Arial"/>
        </w:rPr>
        <w:t>”</w:t>
      </w:r>
      <w:proofErr w:type="gramEnd"/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46" w:name="_Toc404182365"/>
      <w:r>
        <w:t>RN06: Verificar existência de Períodos Aquisitivos Previsto</w:t>
      </w:r>
      <w:bookmarkEnd w:id="46"/>
    </w:p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>O sistema identifica que foi alterado o período aquisitivo da concessão,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então verifica se existe algum registro de Período Aquisitivo com situação previsto, associado a um vínculo que pertence ao Órgão dos parâmetros e gerado dentro da vigência referência. Considerar a data inicial do período aquisitivo do vínculo do servidor para identificar data de geração. Caso encontre o sistema levanta exceção de mensagem MSG1100 “Não é permitido incluir, alterar ou excluir datas iniciais de &lt;</w:t>
      </w:r>
      <w:proofErr w:type="spellStart"/>
      <w:r>
        <w:rPr>
          <w:rFonts w:cs="Arial"/>
        </w:rPr>
        <w:t>descrição_tipo_período</w:t>
      </w:r>
      <w:proofErr w:type="spellEnd"/>
      <w:r>
        <w:rPr>
          <w:rFonts w:cs="Arial"/>
        </w:rPr>
        <w:t>&gt; quando houver registro de Período Aquisitivo &lt;</w:t>
      </w:r>
      <w:proofErr w:type="spellStart"/>
      <w:r>
        <w:rPr>
          <w:rFonts w:cs="Arial"/>
        </w:rPr>
        <w:t>situação_período_aquisitivo</w:t>
      </w:r>
      <w:proofErr w:type="spellEnd"/>
      <w:r>
        <w:rPr>
          <w:rFonts w:cs="Arial"/>
        </w:rPr>
        <w:t>&gt; a partir desta.”.</w:t>
      </w:r>
    </w:p>
    <w:p w:rsidR="002D712A" w:rsidRDefault="002D712A" w:rsidP="002D712A">
      <w:pPr>
        <w:ind w:left="1440"/>
        <w:rPr>
          <w:rFonts w:cs="Arial"/>
        </w:rPr>
      </w:pPr>
      <w:proofErr w:type="gramStart"/>
      <w:r>
        <w:rPr>
          <w:rFonts w:cs="Arial"/>
        </w:rPr>
        <w:t>::</w:t>
      </w:r>
      <w:proofErr w:type="gramEnd"/>
      <w:r>
        <w:rPr>
          <w:rFonts w:cs="Arial"/>
        </w:rPr>
        <w:t>&lt;</w:t>
      </w:r>
      <w:proofErr w:type="spellStart"/>
      <w:r>
        <w:rPr>
          <w:rFonts w:cs="Arial"/>
        </w:rPr>
        <w:t>descrição_tipo_período</w:t>
      </w:r>
      <w:proofErr w:type="spellEnd"/>
      <w:r>
        <w:rPr>
          <w:rFonts w:cs="Arial"/>
        </w:rPr>
        <w:t>&gt; = período de aquisitivo</w:t>
      </w:r>
    </w:p>
    <w:p w:rsidR="002D712A" w:rsidRDefault="002D712A" w:rsidP="002D712A">
      <w:pPr>
        <w:ind w:left="1440"/>
        <w:rPr>
          <w:rFonts w:cs="Arial"/>
        </w:rPr>
      </w:pPr>
      <w:proofErr w:type="gramStart"/>
      <w:r>
        <w:rPr>
          <w:rFonts w:cs="Arial"/>
        </w:rPr>
        <w:t>::</w:t>
      </w:r>
      <w:proofErr w:type="gramEnd"/>
      <w:r>
        <w:rPr>
          <w:rFonts w:cs="Arial"/>
        </w:rPr>
        <w:t xml:space="preserve"> &lt; </w:t>
      </w:r>
      <w:proofErr w:type="spellStart"/>
      <w:r>
        <w:rPr>
          <w:rFonts w:cs="Arial"/>
        </w:rPr>
        <w:t>situação_período_aquisitivo</w:t>
      </w:r>
      <w:proofErr w:type="spellEnd"/>
      <w:r>
        <w:rPr>
          <w:rFonts w:cs="Arial"/>
        </w:rPr>
        <w:t>&gt; = gerado</w:t>
      </w:r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47" w:name="_Toc404182366"/>
      <w:r>
        <w:t>RN07: Verificar existência de Períodos Aquisitivos Conquistados</w:t>
      </w:r>
      <w:bookmarkEnd w:id="47"/>
    </w:p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 xml:space="preserve">O sistema identifica que foi alterado o período conquista do usufruto, então verifica se existe algum registro de Período Aquisitivo com situação conquistado, associado a um vínculo que pertence ao Órgão dos parâmetros e gerado dentro da vigência referência. Considerar a data de conquista do período aquisitivo do vínculo do servidor para identificar data de geração. Caso encontre o sistema levanta exceção de mensagem MSG1100 “Não é permitido incluir, alterar ou excluir datas iniciais de </w:t>
      </w:r>
      <w:r>
        <w:rPr>
          <w:rFonts w:cs="Arial"/>
        </w:rPr>
        <w:lastRenderedPageBreak/>
        <w:t>&lt;</w:t>
      </w:r>
      <w:proofErr w:type="spellStart"/>
      <w:r>
        <w:rPr>
          <w:rFonts w:cs="Arial"/>
        </w:rPr>
        <w:t>descrição_tipo_período</w:t>
      </w:r>
      <w:proofErr w:type="spellEnd"/>
      <w:r>
        <w:rPr>
          <w:rFonts w:cs="Arial"/>
        </w:rPr>
        <w:t>&gt; quando houver registro de Período Aquisitivo &lt;</w:t>
      </w:r>
      <w:proofErr w:type="spellStart"/>
      <w:r>
        <w:rPr>
          <w:rFonts w:cs="Arial"/>
        </w:rPr>
        <w:t>situação_período_aquisitivo</w:t>
      </w:r>
      <w:proofErr w:type="spellEnd"/>
      <w:r>
        <w:rPr>
          <w:rFonts w:cs="Arial"/>
        </w:rPr>
        <w:t>&gt; a partir desta.”.</w:t>
      </w:r>
    </w:p>
    <w:p w:rsidR="002D712A" w:rsidRDefault="002D712A" w:rsidP="002D712A">
      <w:pPr>
        <w:ind w:left="1440"/>
        <w:rPr>
          <w:rFonts w:cs="Arial"/>
        </w:rPr>
      </w:pPr>
      <w:proofErr w:type="gramStart"/>
      <w:r>
        <w:rPr>
          <w:rFonts w:cs="Arial"/>
        </w:rPr>
        <w:t>::</w:t>
      </w:r>
      <w:proofErr w:type="gramEnd"/>
      <w:r>
        <w:rPr>
          <w:rFonts w:cs="Arial"/>
        </w:rPr>
        <w:t>&lt;</w:t>
      </w:r>
      <w:proofErr w:type="spellStart"/>
      <w:r>
        <w:rPr>
          <w:rFonts w:cs="Arial"/>
        </w:rPr>
        <w:t>descrição_tipo_período</w:t>
      </w:r>
      <w:proofErr w:type="spellEnd"/>
      <w:r>
        <w:rPr>
          <w:rFonts w:cs="Arial"/>
        </w:rPr>
        <w:t>&gt; = período de conquista</w:t>
      </w:r>
    </w:p>
    <w:p w:rsidR="002D712A" w:rsidRDefault="002D712A" w:rsidP="002D712A">
      <w:pPr>
        <w:ind w:left="1440"/>
        <w:rPr>
          <w:rFonts w:cs="Arial"/>
        </w:rPr>
      </w:pPr>
      <w:proofErr w:type="gramStart"/>
      <w:r>
        <w:rPr>
          <w:rFonts w:cs="Arial"/>
        </w:rPr>
        <w:t>::</w:t>
      </w:r>
      <w:proofErr w:type="gramEnd"/>
      <w:r>
        <w:rPr>
          <w:rFonts w:cs="Arial"/>
        </w:rPr>
        <w:t xml:space="preserve"> &lt; </w:t>
      </w:r>
      <w:proofErr w:type="spellStart"/>
      <w:r>
        <w:rPr>
          <w:rFonts w:cs="Arial"/>
        </w:rPr>
        <w:t>situação_período_aquisitivo</w:t>
      </w:r>
      <w:proofErr w:type="spellEnd"/>
      <w:r>
        <w:rPr>
          <w:rFonts w:cs="Arial"/>
        </w:rPr>
        <w:t>&gt; = conquistado</w:t>
      </w:r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48" w:name="_Toc404182367"/>
      <w:r>
        <w:t>RN08: Verificar existência de Períodos Aquisitivos Perdidos</w:t>
      </w:r>
      <w:bookmarkEnd w:id="48"/>
    </w:p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 xml:space="preserve">O sistema identifica que foi alterado o período conquista das regras para Perda da licença prêmio, então verifica se existe algum registro de Período Aquisitivo com situação </w:t>
      </w:r>
      <w:proofErr w:type="spellStart"/>
      <w:proofErr w:type="gramStart"/>
      <w:r>
        <w:rPr>
          <w:rFonts w:cs="Arial"/>
        </w:rPr>
        <w:t>perdido,</w:t>
      </w:r>
      <w:proofErr w:type="gramEnd"/>
      <w:r>
        <w:rPr>
          <w:rFonts w:cs="Arial"/>
        </w:rPr>
        <w:t>associado</w:t>
      </w:r>
      <w:proofErr w:type="spellEnd"/>
      <w:r>
        <w:rPr>
          <w:rFonts w:cs="Arial"/>
        </w:rPr>
        <w:t xml:space="preserve"> a um vínculo que pertence ao Órgão dos parâmetros gerado dentro da vigência referência. Considerar a data inicial do período aquisitivo do vínculo do servidor para identificar data de geração. Caso encontre o sistema levanta exceção de mensagem MSG1100 “Não é permitido incluir, alterar ou excluir datas iniciais de &lt;</w:t>
      </w:r>
      <w:proofErr w:type="spellStart"/>
      <w:r>
        <w:rPr>
          <w:rFonts w:cs="Arial"/>
        </w:rPr>
        <w:t>descrição_tipo_período</w:t>
      </w:r>
      <w:proofErr w:type="spellEnd"/>
      <w:r>
        <w:rPr>
          <w:rFonts w:cs="Arial"/>
        </w:rPr>
        <w:t>&gt; quando houver registro de Período Aquisitivo &lt;</w:t>
      </w:r>
      <w:proofErr w:type="spellStart"/>
      <w:r>
        <w:rPr>
          <w:rFonts w:cs="Arial"/>
        </w:rPr>
        <w:t>situação_período_aquisitivo</w:t>
      </w:r>
      <w:proofErr w:type="spellEnd"/>
      <w:r>
        <w:rPr>
          <w:rFonts w:cs="Arial"/>
        </w:rPr>
        <w:t>&gt; a partir desta.</w:t>
      </w:r>
      <w:proofErr w:type="gramStart"/>
      <w:r>
        <w:rPr>
          <w:rFonts w:cs="Arial"/>
        </w:rPr>
        <w:t>”</w:t>
      </w:r>
      <w:proofErr w:type="gramEnd"/>
    </w:p>
    <w:p w:rsidR="002D712A" w:rsidRDefault="002D712A" w:rsidP="002D712A">
      <w:pPr>
        <w:ind w:left="1440"/>
        <w:rPr>
          <w:rFonts w:cs="Arial"/>
        </w:rPr>
      </w:pPr>
      <w:proofErr w:type="gramStart"/>
      <w:r>
        <w:rPr>
          <w:rFonts w:cs="Arial"/>
        </w:rPr>
        <w:t>::</w:t>
      </w:r>
      <w:proofErr w:type="gramEnd"/>
      <w:r>
        <w:rPr>
          <w:rFonts w:cs="Arial"/>
        </w:rPr>
        <w:t xml:space="preserve"> &lt;</w:t>
      </w:r>
      <w:proofErr w:type="spellStart"/>
      <w:r>
        <w:rPr>
          <w:rFonts w:cs="Arial"/>
        </w:rPr>
        <w:t>descrição_tipo_período</w:t>
      </w:r>
      <w:proofErr w:type="spellEnd"/>
      <w:r>
        <w:rPr>
          <w:rFonts w:cs="Arial"/>
        </w:rPr>
        <w:t>&gt; = período aquisitivo</w:t>
      </w:r>
    </w:p>
    <w:p w:rsidR="002D712A" w:rsidRDefault="002D712A" w:rsidP="002D712A">
      <w:pPr>
        <w:ind w:left="1440"/>
        <w:rPr>
          <w:rFonts w:cs="Arial"/>
        </w:rPr>
      </w:pPr>
      <w:proofErr w:type="gramStart"/>
      <w:r>
        <w:rPr>
          <w:rFonts w:cs="Arial"/>
        </w:rPr>
        <w:t>::</w:t>
      </w:r>
      <w:proofErr w:type="gramEnd"/>
      <w:r>
        <w:rPr>
          <w:rFonts w:cs="Arial"/>
        </w:rPr>
        <w:t xml:space="preserve"> &lt; </w:t>
      </w:r>
      <w:proofErr w:type="spellStart"/>
      <w:r>
        <w:rPr>
          <w:rFonts w:cs="Arial"/>
        </w:rPr>
        <w:t>situação_período_aquisitivo</w:t>
      </w:r>
      <w:proofErr w:type="spellEnd"/>
      <w:r>
        <w:rPr>
          <w:rFonts w:cs="Arial"/>
        </w:rPr>
        <w:t>&gt; = perdido</w:t>
      </w:r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49" w:name="_Toc404182368"/>
      <w:proofErr w:type="gramStart"/>
      <w:r>
        <w:t>RN09: Verificar existência Parâmetro Licença Prêmio para o Item de Carreira”</w:t>
      </w:r>
      <w:proofErr w:type="gramEnd"/>
      <w:r>
        <w:t>.</w:t>
      </w:r>
      <w:bookmarkEnd w:id="49"/>
    </w:p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 xml:space="preserve">O sistema verifica se já existe algum Parâmetro de Licença Prêmio cadastrado para o Item de Carreira do Órgão para o tipo da licença prêmio. Caso retorne registro o sistema levanta exceção com a mensagem MSG0022 “Já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>a) %1.”; Exemplo: Já existe registro cadastrado com este(a) Item de Carreira.</w:t>
      </w:r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50" w:name="_Toc404182369"/>
      <w:proofErr w:type="gramStart"/>
      <w:r>
        <w:t xml:space="preserve">RN10: Verificar existência Parâmetro Licença </w:t>
      </w:r>
      <w:r>
        <w:lastRenderedPageBreak/>
        <w:t>Prêmio para a Carreira”</w:t>
      </w:r>
      <w:proofErr w:type="gramEnd"/>
      <w:r>
        <w:t>.</w:t>
      </w:r>
      <w:bookmarkEnd w:id="50"/>
    </w:p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 xml:space="preserve">O sistema identifica que o ator selecionou apenas a Carreira, então verifica se já existe algum Parâmetro de Licença Prêmio cadastrado para a Carreira do Órgão e para o tipo da licença prêmio. Caso retorne registro o sistema levanta exceção com a mensagem MSG0022 “Já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>a) %1.”; Exemplo: Já existe registro cadastrado com este(a) Item de Carreira.</w:t>
      </w:r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51" w:name="_Toc404182370"/>
      <w:r>
        <w:t>RN11: Verificar opção tipo percentual para Quantitativo Máximo</w:t>
      </w:r>
      <w:bookmarkEnd w:id="51"/>
      <w:r>
        <w:t xml:space="preserve"> </w:t>
      </w:r>
    </w:p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 xml:space="preserve">O sistema verifica para as informações do quantitativo mensal máximo de servidores permitidos a usufruir licença prêmio, quando a opção for “Percentual permitido” se o usuário informou um valor entre </w:t>
      </w:r>
      <w:proofErr w:type="gramStart"/>
      <w:r>
        <w:rPr>
          <w:rFonts w:cs="Arial"/>
        </w:rPr>
        <w:t>1</w:t>
      </w:r>
      <w:proofErr w:type="gramEnd"/>
      <w:r>
        <w:rPr>
          <w:rFonts w:cs="Arial"/>
        </w:rPr>
        <w:t xml:space="preserve"> e 100. Caso tenha informado um valor diferente, levanta exceção com a mensagem MSG1644: “Campo percentual não pode ser preenchido com zero ou valor maior que </w:t>
      </w:r>
      <w:smartTag w:uri="urn:schemas-microsoft-com:office:smarttags" w:element="metricconverter">
        <w:smartTagPr>
          <w:attr w:name="ProductID" w:val="100.”"/>
        </w:smartTagPr>
        <w:r>
          <w:rPr>
            <w:rFonts w:cs="Arial"/>
          </w:rPr>
          <w:t>100.</w:t>
        </w:r>
        <w:proofErr w:type="gramStart"/>
        <w:r>
          <w:rPr>
            <w:rFonts w:cs="Arial"/>
          </w:rPr>
          <w:t>”</w:t>
        </w:r>
      </w:smartTag>
      <w:proofErr w:type="gramEnd"/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52" w:name="_Toc404182371"/>
      <w:r>
        <w:t>Validação de Campos do Formulário</w:t>
      </w:r>
      <w:bookmarkEnd w:id="52"/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53" w:name="_Toc404182372"/>
      <w:r>
        <w:t>Regras da concessão/Usufruto/Indenização/Perda</w:t>
      </w:r>
      <w:bookmarkEnd w:id="53"/>
    </w:p>
    <w:p w:rsidR="002D712A" w:rsidRDefault="002D712A" w:rsidP="002D712A"/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>Observar nas listas (grids) quais campos devem ser informados/preenchidos quando um item de uma lista for adicionado. Caso não tenha sido preenchido, apresentar mensagem padrão de campo obrigatório MSG0936 “É obrigatório informar o campo %1 quando informado %2”.</w:t>
      </w:r>
    </w:p>
    <w:p w:rsidR="002D712A" w:rsidRDefault="002D712A" w:rsidP="002D712A">
      <w:pPr>
        <w:ind w:left="1440"/>
        <w:rPr>
          <w:rFonts w:cs="Arial"/>
        </w:rPr>
      </w:pPr>
      <w:r>
        <w:rPr>
          <w:rFonts w:cs="Arial"/>
        </w:rPr>
        <w:t xml:space="preserve">Exemplo: É obrigatório informar o campo “Data inicial do período aquisitivo” quando informado “Regra para concessão de licença prêmio”. </w:t>
      </w:r>
    </w:p>
    <w:p w:rsidR="002D712A" w:rsidRDefault="002D712A" w:rsidP="002D712A">
      <w:pPr>
        <w:ind w:left="1440"/>
        <w:rPr>
          <w:rFonts w:cs="Arial"/>
        </w:rPr>
      </w:pPr>
    </w:p>
    <w:p w:rsidR="002D712A" w:rsidRDefault="002D712A" w:rsidP="002D712A"/>
    <w:tbl>
      <w:tblPr>
        <w:tblW w:w="9540" w:type="dxa"/>
        <w:tblInd w:w="250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55"/>
        <w:gridCol w:w="3779"/>
        <w:gridCol w:w="21"/>
        <w:gridCol w:w="881"/>
        <w:gridCol w:w="17"/>
        <w:gridCol w:w="525"/>
        <w:gridCol w:w="17"/>
        <w:gridCol w:w="525"/>
        <w:gridCol w:w="17"/>
        <w:gridCol w:w="703"/>
      </w:tblGrid>
      <w:tr w:rsidR="002D712A" w:rsidTr="001B5E1C">
        <w:trPr>
          <w:tblHeader/>
        </w:trPr>
        <w:tc>
          <w:tcPr>
            <w:tcW w:w="95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</w:rPr>
            </w:pPr>
            <w:r>
              <w:rPr>
                <w:rStyle w:val="SoDAField"/>
                <w:b/>
                <w:bCs/>
                <w:color w:val="000080"/>
                <w:sz w:val="24"/>
              </w:rPr>
              <w:lastRenderedPageBreak/>
              <w:t>Atributos</w:t>
            </w:r>
          </w:p>
        </w:tc>
      </w:tr>
      <w:tr w:rsidR="002D712A" w:rsidTr="001B5E1C">
        <w:trPr>
          <w:tblHeader/>
        </w:trPr>
        <w:tc>
          <w:tcPr>
            <w:tcW w:w="6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r>
              <w:rPr>
                <w:rStyle w:val="SoDAField"/>
                <w:b/>
                <w:bCs/>
                <w:color w:val="000080"/>
                <w:sz w:val="24"/>
              </w:rPr>
              <w:t>Nome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proofErr w:type="spellStart"/>
            <w:r>
              <w:rPr>
                <w:rStyle w:val="SoDAField"/>
                <w:b/>
                <w:bCs/>
                <w:color w:val="000080"/>
                <w:sz w:val="24"/>
              </w:rPr>
              <w:t>Pd</w:t>
            </w:r>
            <w:proofErr w:type="spellEnd"/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  <w:lang w:val="en-US"/>
              </w:rPr>
            </w:pPr>
            <w:proofErr w:type="spellStart"/>
            <w:r>
              <w:rPr>
                <w:rStyle w:val="SoDAField"/>
                <w:b/>
                <w:bCs/>
                <w:color w:val="000080"/>
                <w:sz w:val="24"/>
                <w:lang w:val="en-US"/>
              </w:rPr>
              <w:t>Tp</w:t>
            </w:r>
            <w:proofErr w:type="spellEnd"/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>
              <w:rPr>
                <w:b/>
                <w:bCs/>
                <w:color w:val="000080"/>
                <w:sz w:val="24"/>
                <w:lang w:val="en-US"/>
              </w:rPr>
              <w:t>Tm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>
              <w:rPr>
                <w:b/>
                <w:bCs/>
                <w:color w:val="000080"/>
                <w:sz w:val="24"/>
                <w:lang w:val="en-US"/>
              </w:rPr>
              <w:t>Op</w:t>
            </w:r>
          </w:p>
        </w:tc>
      </w:tr>
      <w:tr w:rsidR="002D712A" w:rsidTr="001B5E1C">
        <w:trPr>
          <w:cantSplit/>
        </w:trPr>
        <w:tc>
          <w:tcPr>
            <w:tcW w:w="95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b/>
                <w:bCs/>
                <w:color w:val="000000"/>
              </w:rPr>
            </w:pPr>
            <w:r>
              <w:rPr>
                <w:rStyle w:val="SoDAField"/>
                <w:b/>
                <w:bCs/>
                <w:color w:val="000000"/>
                <w:sz w:val="24"/>
              </w:rPr>
              <w:t>Concessão</w:t>
            </w:r>
          </w:p>
        </w:tc>
      </w:tr>
      <w:tr w:rsidR="002D712A" w:rsidTr="001B5E1C">
        <w:trPr>
          <w:cantSplit/>
        </w:trPr>
        <w:tc>
          <w:tcPr>
            <w:tcW w:w="95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712A" w:rsidRDefault="002D712A" w:rsidP="001B5E1C">
            <w:pPr>
              <w:pStyle w:val="Recuodecorpodetexto2"/>
              <w:widowControl w:val="0"/>
              <w:tabs>
                <w:tab w:val="right" w:pos="9400"/>
              </w:tabs>
              <w:ind w:firstLine="0"/>
              <w:jc w:val="left"/>
              <w:rPr>
                <w:color w:val="000000"/>
              </w:rPr>
            </w:pPr>
            <w:r>
              <w:rPr>
                <w:rStyle w:val="SoDAField"/>
                <w:b/>
                <w:bCs/>
                <w:color w:val="000000"/>
              </w:rPr>
              <w:t>Lista de Períodos Aquisitivos (pelo menos 1)</w:t>
            </w:r>
            <w:r>
              <w:rPr>
                <w:rStyle w:val="SoDAField"/>
                <w:b/>
                <w:bCs/>
                <w:color w:val="000000"/>
              </w:rPr>
              <w:tab/>
              <w:t>Obrigatório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rStyle w:val="SoDAField"/>
                <w:b/>
                <w:bCs/>
                <w:color w:val="000000"/>
              </w:rPr>
              <w:t>Data inicial do período aquisitivo a partir de (vários)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color w:val="000000"/>
              </w:rPr>
              <w:t>Indicativo se os períodos aquisitivos devem ser concedidos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Indicativo se os períodos aquisitivos concedidos devem ser homologados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Indicativo se os períodos aquisitivos devem ser concedidos a servidores não estáveis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Tempo de cada período aquisitivo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AA,MM,DD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Identificação das relações de trabalho não aplicáveis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Identificação dos regimes de trabalho não aplicáveis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Identificação dos tempos normais que incidem para o período da licença prêmio/prêmio assiduidade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rPr>
          <w:cantSplit/>
        </w:trPr>
        <w:tc>
          <w:tcPr>
            <w:tcW w:w="95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Lista dias concedidos (Pelo menos 1 item)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rStyle w:val="SoDAField"/>
                <w:b/>
                <w:bCs/>
                <w:color w:val="000000"/>
              </w:rPr>
              <w:t>Data de conquista a partir de (vários)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Quantidade de dias concedidos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Relação das quantidades de dias permitidas para averbação (vários)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</w:tr>
      <w:tr w:rsidR="002D712A" w:rsidTr="001B5E1C">
        <w:trPr>
          <w:cantSplit/>
        </w:trPr>
        <w:tc>
          <w:tcPr>
            <w:tcW w:w="95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Style w:val="SoDAField"/>
                <w:b/>
                <w:bCs/>
                <w:color w:val="000000"/>
                <w:sz w:val="24"/>
              </w:rPr>
              <w:t>Usufruto</w:t>
            </w:r>
          </w:p>
        </w:tc>
      </w:tr>
      <w:tr w:rsidR="002D712A" w:rsidTr="001B5E1C">
        <w:trPr>
          <w:cantSplit/>
        </w:trPr>
        <w:tc>
          <w:tcPr>
            <w:tcW w:w="6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rStyle w:val="SoDAField"/>
                <w:b/>
                <w:bCs/>
                <w:color w:val="000000"/>
              </w:rPr>
              <w:t>Listar de Períodos de suspensão do usufruto (vários)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</w:pPr>
            <w:r>
              <w:t>Data inicial da suspensão do usufruto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</w:pPr>
            <w:r>
              <w:t>Data final da suspensão do usufruto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b/>
                <w:bCs/>
                <w:color w:val="000000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rStyle w:val="SoDAField"/>
                <w:b/>
                <w:bCs/>
                <w:color w:val="000000"/>
              </w:rPr>
              <w:t>Regra de ausência injustificada para o usufruto (utilizar intervalos) (considerar os dois atributos abaixo)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 xml:space="preserve"> 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 xml:space="preserve"> 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color w:val="000000"/>
                <w:szCs w:val="15"/>
              </w:rPr>
              <w:t>Limite de dias de falta para não perder o período aquisitivo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color w:val="000000"/>
                <w:szCs w:val="15"/>
              </w:rPr>
              <w:t>Limite de dias de falta para não prorrogar o período aquisitivo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  <w:lang w:val="en-US"/>
              </w:rPr>
            </w:pPr>
            <w:r>
              <w:rPr>
                <w:rStyle w:val="SoDAField"/>
                <w:rFonts w:eastAsia="Arial Unicode MS"/>
                <w:color w:val="000000"/>
                <w:lang w:val="en-US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Opc</w:t>
            </w:r>
            <w:proofErr w:type="spellEnd"/>
            <w:r>
              <w:rPr>
                <w:color w:val="000000"/>
                <w:lang w:val="en-US"/>
              </w:rPr>
              <w:t>.</w:t>
            </w:r>
          </w:p>
        </w:tc>
      </w:tr>
      <w:tr w:rsidR="002D712A" w:rsidTr="001B5E1C">
        <w:trPr>
          <w:cantSplit/>
        </w:trPr>
        <w:tc>
          <w:tcPr>
            <w:tcW w:w="6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  <w:lang w:val="en-US"/>
              </w:rPr>
            </w:pPr>
            <w:r>
              <w:rPr>
                <w:rStyle w:val="SoDAField"/>
                <w:rFonts w:eastAsia="Arial Unicode MS"/>
                <w:b/>
                <w:bCs/>
                <w:color w:val="000000"/>
              </w:rPr>
              <w:t>Regra</w:t>
            </w:r>
            <w:r>
              <w:rPr>
                <w:rStyle w:val="SoDAField"/>
                <w:rFonts w:eastAsia="Arial Unicode MS"/>
                <w:b/>
                <w:bCs/>
                <w:color w:val="000000"/>
                <w:lang w:val="en-US"/>
              </w:rPr>
              <w:t xml:space="preserve"> de </w:t>
            </w:r>
            <w:r>
              <w:rPr>
                <w:rStyle w:val="SoDAField"/>
                <w:rFonts w:eastAsia="Arial Unicode MS"/>
                <w:b/>
                <w:bCs/>
                <w:color w:val="000000"/>
              </w:rPr>
              <w:t>ausência</w:t>
            </w:r>
            <w:r>
              <w:rPr>
                <w:rStyle w:val="SoDAField"/>
                <w:rFonts w:eastAsia="Arial Unicode MS"/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rStyle w:val="SoDAField"/>
                <w:rFonts w:eastAsia="Arial Unicode MS"/>
                <w:b/>
                <w:bCs/>
                <w:color w:val="000000"/>
              </w:rPr>
              <w:t>injustificada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  <w:lang w:val="en-US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  <w:lang w:val="en-US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00"/>
                <w:lang w:val="en-US"/>
              </w:rPr>
            </w:pPr>
            <w:proofErr w:type="spellStart"/>
            <w:r>
              <w:rPr>
                <w:b/>
                <w:bCs/>
                <w:color w:val="000000"/>
              </w:rPr>
              <w:t>Opc</w:t>
            </w:r>
            <w:proofErr w:type="spellEnd"/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  <w:lang w:val="en-US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Quantitativo limite de faltas (até)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Número de dias a usufruir perdido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rStyle w:val="SoDAField"/>
                <w:b/>
                <w:bCs/>
                <w:color w:val="000000"/>
              </w:rPr>
              <w:t>Quantitativo máximo de servidores permitidos a usufruir férias (vários)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</w:p>
        </w:tc>
      </w:tr>
      <w:tr w:rsidR="002D712A" w:rsidTr="001B5E1C">
        <w:trPr>
          <w:trHeight w:val="255"/>
        </w:trPr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Identificação dos tipos de unidades envolvidos (vários)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rPr>
          <w:cantSplit/>
          <w:trHeight w:val="255"/>
        </w:trPr>
        <w:tc>
          <w:tcPr>
            <w:tcW w:w="95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712A" w:rsidRDefault="002D712A" w:rsidP="001B5E1C">
            <w:pPr>
              <w:pStyle w:val="Recuodecorpodetexto2"/>
              <w:widowControl w:val="0"/>
              <w:tabs>
                <w:tab w:val="right" w:pos="9400"/>
              </w:tabs>
              <w:ind w:firstLine="0"/>
              <w:jc w:val="left"/>
              <w:rPr>
                <w:b/>
                <w:bCs/>
                <w:color w:val="000000"/>
              </w:rPr>
            </w:pPr>
            <w:r>
              <w:rPr>
                <w:rStyle w:val="SoDAField"/>
                <w:rFonts w:eastAsia="Arial Unicode MS"/>
                <w:b/>
                <w:bCs/>
                <w:color w:val="000000"/>
              </w:rPr>
              <w:t>Quadro Mensal Máximo de Servidores Permitidos a Usufruir</w:t>
            </w:r>
            <w:r>
              <w:rPr>
                <w:rStyle w:val="SoDAField"/>
                <w:rFonts w:eastAsia="Arial Unicode MS"/>
                <w:b/>
                <w:bCs/>
                <w:color w:val="000000"/>
              </w:rPr>
              <w:tab/>
            </w:r>
            <w:proofErr w:type="spellStart"/>
            <w:r>
              <w:rPr>
                <w:rStyle w:val="SoDAField"/>
                <w:rFonts w:eastAsia="Arial Unicode MS"/>
                <w:b/>
                <w:bCs/>
                <w:color w:val="000000"/>
              </w:rPr>
              <w:t>Obrig</w:t>
            </w:r>
            <w:proofErr w:type="spellEnd"/>
            <w:r>
              <w:rPr>
                <w:rStyle w:val="SoDAField"/>
                <w:rFonts w:eastAsia="Arial Unicode MS"/>
                <w:b/>
                <w:bCs/>
                <w:color w:val="000000"/>
              </w:rPr>
              <w:t>.</w:t>
            </w:r>
          </w:p>
        </w:tc>
      </w:tr>
      <w:tr w:rsidR="002D712A" w:rsidTr="001B5E1C">
        <w:trPr>
          <w:trHeight w:val="255"/>
        </w:trPr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Mês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Meses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rPr>
          <w:trHeight w:val="255"/>
        </w:trPr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Opção para o mês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Domínio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rPr>
          <w:trHeight w:val="255"/>
        </w:trPr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Percentual permitido (obrigatório quando a opção percentual permitido)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Dep.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b/>
                <w:bCs/>
                <w:color w:val="000000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</w:tr>
      <w:tr w:rsidR="002D712A" w:rsidTr="001B5E1C">
        <w:trPr>
          <w:cantSplit/>
        </w:trPr>
        <w:tc>
          <w:tcPr>
            <w:tcW w:w="95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Lista Regras para Data de Conquista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rStyle w:val="SoDAField"/>
                <w:b/>
                <w:bCs/>
                <w:color w:val="000000"/>
              </w:rPr>
              <w:t>Data de conquista a partir de (vários)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color w:val="000000"/>
              </w:rPr>
              <w:t>Indicativo se o usufruto é permitido para servidores em estágio probatório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Tempo de carência para o usufruto após a data da conquista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  <w:lang w:val="en-US"/>
              </w:rPr>
            </w:pPr>
            <w:r>
              <w:rPr>
                <w:rStyle w:val="SoDAField"/>
                <w:color w:val="000000"/>
                <w:lang w:val="en-US"/>
              </w:rPr>
              <w:t>AA,MM,DD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  <w:lang w:val="en-US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Opc</w:t>
            </w:r>
            <w:proofErr w:type="spellEnd"/>
            <w:r>
              <w:rPr>
                <w:color w:val="000000"/>
                <w:lang w:val="en-US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  <w:lang w:val="en-US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Quantidade mínima de dias para usufruir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Quantidade máxima de dias para usufruir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Quantidade máxima de dias a cada ano permitido usufruir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Dia útil do mês para início do usufruto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</w:tr>
      <w:tr w:rsidR="002D712A" w:rsidTr="001B5E1C">
        <w:trPr>
          <w:cantSplit/>
        </w:trPr>
        <w:tc>
          <w:tcPr>
            <w:tcW w:w="95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2D712A" w:rsidRDefault="002D712A" w:rsidP="001B5E1C">
            <w:pPr>
              <w:pStyle w:val="Recuodecorpodetexto2"/>
              <w:widowControl w:val="0"/>
              <w:tabs>
                <w:tab w:val="right" w:pos="9290"/>
              </w:tabs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Style w:val="SoDAField"/>
                <w:b/>
                <w:bCs/>
                <w:color w:val="000000"/>
                <w:sz w:val="24"/>
              </w:rPr>
              <w:t>Regras para perda do usufruto (várias)</w:t>
            </w:r>
            <w:r>
              <w:rPr>
                <w:rStyle w:val="SoDAField"/>
                <w:b/>
                <w:bCs/>
                <w:color w:val="000000"/>
                <w:sz w:val="24"/>
              </w:rPr>
              <w:tab/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</w:tr>
      <w:tr w:rsidR="002D712A" w:rsidTr="001B5E1C">
        <w:trPr>
          <w:cantSplit/>
        </w:trPr>
        <w:tc>
          <w:tcPr>
            <w:tcW w:w="6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Lista Regras para Perda do usufruto</w:t>
            </w: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b/>
                <w:bCs/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rStyle w:val="SoDAField"/>
                <w:b/>
                <w:bCs/>
                <w:color w:val="000000"/>
              </w:rPr>
              <w:t>Data de conquista a partir de (vários)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Data limite para usufruto do total de dias a usufruir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Máximo de períodos aquisitivos conquistados com dias de licença prêmio/prêmio assiduidade a usufruir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Quantidade mínima de dias a cada ano que deve ser usufruída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</w:rPr>
              <w:t>Indicativo se permite a conversão dos dias perdidos em pecúnia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rPr>
          <w:cantSplit/>
        </w:trPr>
        <w:tc>
          <w:tcPr>
            <w:tcW w:w="954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Style w:val="SoDAField"/>
                <w:b/>
                <w:bCs/>
                <w:color w:val="000000"/>
                <w:sz w:val="24"/>
              </w:rPr>
              <w:t>Regras para indenização (várias)</w:t>
            </w:r>
          </w:p>
        </w:tc>
      </w:tr>
      <w:tr w:rsidR="002D712A" w:rsidTr="001B5E1C">
        <w:trPr>
          <w:cantSplit/>
        </w:trPr>
        <w:tc>
          <w:tcPr>
            <w:tcW w:w="6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b/>
                <w:bCs/>
                <w:color w:val="000000"/>
                <w:szCs w:val="15"/>
              </w:rPr>
            </w:pPr>
            <w:r>
              <w:rPr>
                <w:b/>
                <w:bCs/>
                <w:color w:val="000000"/>
                <w:szCs w:val="15"/>
              </w:rPr>
              <w:t>Períodos de suspensão da indenização (vários)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  <w:szCs w:val="15"/>
              </w:rPr>
            </w:pPr>
            <w:r>
              <w:rPr>
                <w:color w:val="000000"/>
                <w:szCs w:val="15"/>
              </w:rPr>
              <w:t>Data inicial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Obr.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  <w:szCs w:val="15"/>
              </w:rPr>
            </w:pPr>
            <w:r>
              <w:rPr>
                <w:color w:val="000000"/>
                <w:szCs w:val="15"/>
              </w:rPr>
              <w:t>Data final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b/>
                <w:bCs/>
                <w:color w:val="000000"/>
              </w:rPr>
            </w:pP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</w:tr>
      <w:tr w:rsidR="002D712A" w:rsidTr="001B5E1C">
        <w:trPr>
          <w:cantSplit/>
        </w:trPr>
        <w:tc>
          <w:tcPr>
            <w:tcW w:w="68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rStyle w:val="SoDAField"/>
                <w:b/>
                <w:bCs/>
                <w:color w:val="000000"/>
              </w:rPr>
              <w:t>Lista Regras para Indenização</w:t>
            </w: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rStyle w:val="SoDAField"/>
                <w:b/>
                <w:bCs/>
                <w:color w:val="000000"/>
              </w:rPr>
              <w:t>Data de conquista até (vários)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</w:rPr>
            </w:pPr>
            <w:r>
              <w:rPr>
                <w:color w:val="000000"/>
                <w:szCs w:val="15"/>
              </w:rPr>
              <w:t>Número de dias permitido por período aquisitivo conquistado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color w:val="000000"/>
                <w:szCs w:val="15"/>
              </w:rPr>
            </w:pPr>
            <w:r>
              <w:rPr>
                <w:color w:val="000000"/>
                <w:szCs w:val="15"/>
              </w:rPr>
              <w:t>Indicativo se permite indenizar o saldo de dias existente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  <w:szCs w:val="15"/>
              </w:rPr>
            </w:pPr>
            <w:r>
              <w:rPr>
                <w:color w:val="000000"/>
                <w:szCs w:val="15"/>
              </w:rPr>
              <w:t>Indicativo se permite indenização caso já exista usufruto dentro do período aquisitivo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  <w:szCs w:val="15"/>
              </w:rPr>
            </w:pPr>
            <w:r>
              <w:rPr>
                <w:color w:val="000000"/>
                <w:szCs w:val="15"/>
              </w:rPr>
              <w:t>Indicativo se permite indenização caso já exista dias averbados dentro do período aquisitivo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  <w:szCs w:val="15"/>
              </w:rPr>
            </w:pPr>
            <w:r>
              <w:rPr>
                <w:color w:val="000000"/>
                <w:szCs w:val="15"/>
              </w:rPr>
              <w:t>Quantidade máxima anual de dias que podem ser indenizados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  <w:szCs w:val="15"/>
              </w:rPr>
            </w:pPr>
            <w:r>
              <w:rPr>
                <w:color w:val="000000"/>
                <w:szCs w:val="15"/>
              </w:rPr>
              <w:t>Quantidade máxima de dias indenizados mensalmente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  <w:szCs w:val="15"/>
              </w:rPr>
            </w:pPr>
            <w:r>
              <w:rPr>
                <w:color w:val="000000"/>
                <w:szCs w:val="15"/>
              </w:rPr>
              <w:t>Identificação diferenciada da rubrica de pagamento do órgão onde a indenização deve ser paga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N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712A" w:rsidTr="001B5E1C">
        <w:trPr>
          <w:cantSplit/>
        </w:trPr>
        <w:tc>
          <w:tcPr>
            <w:tcW w:w="6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color w:val="000000"/>
                <w:szCs w:val="15"/>
              </w:rPr>
            </w:pPr>
            <w:r>
              <w:rPr>
                <w:b/>
                <w:bCs/>
                <w:color w:val="000000"/>
                <w:szCs w:val="15"/>
              </w:rPr>
              <w:t xml:space="preserve">Lista de Períodos de meses permitidos para pagamento </w:t>
            </w:r>
          </w:p>
        </w:tc>
        <w:tc>
          <w:tcPr>
            <w:tcW w:w="27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right"/>
              <w:rPr>
                <w:color w:val="000000"/>
                <w:szCs w:val="15"/>
              </w:rPr>
            </w:pPr>
            <w:proofErr w:type="spellStart"/>
            <w:r>
              <w:rPr>
                <w:b/>
                <w:bCs/>
                <w:color w:val="000000"/>
                <w:szCs w:val="15"/>
              </w:rPr>
              <w:t>Opc</w:t>
            </w:r>
            <w:proofErr w:type="spellEnd"/>
            <w:r>
              <w:rPr>
                <w:color w:val="000000"/>
                <w:szCs w:val="15"/>
              </w:rPr>
              <w:t>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  <w:szCs w:val="15"/>
              </w:rPr>
            </w:pPr>
            <w:r>
              <w:rPr>
                <w:color w:val="000000"/>
                <w:szCs w:val="15"/>
              </w:rPr>
              <w:t>Mês inicial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Mês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Obr.</w:t>
            </w:r>
          </w:p>
        </w:tc>
      </w:tr>
      <w:tr w:rsidR="002D712A" w:rsidTr="001B5E1C"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rPr>
                <w:color w:val="000000"/>
                <w:szCs w:val="15"/>
              </w:rPr>
            </w:pPr>
            <w:r>
              <w:rPr>
                <w:color w:val="000000"/>
                <w:szCs w:val="15"/>
              </w:rPr>
              <w:t>Mês final</w:t>
            </w:r>
          </w:p>
        </w:tc>
        <w:tc>
          <w:tcPr>
            <w:tcW w:w="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Mês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:rsidR="002D712A" w:rsidRDefault="002D712A" w:rsidP="002D712A">
      <w:pPr>
        <w:widowControl w:val="0"/>
        <w:ind w:left="1080"/>
      </w:pPr>
    </w:p>
    <w:p w:rsidR="002D712A" w:rsidRDefault="002D712A" w:rsidP="002D712A">
      <w:pPr>
        <w:pStyle w:val="Ttulo3"/>
        <w:keepNext w:val="0"/>
        <w:widowControl w:val="0"/>
        <w:spacing w:before="120" w:line="240" w:lineRule="auto"/>
      </w:pPr>
      <w:bookmarkStart w:id="54" w:name="_Toc193689487"/>
      <w:bookmarkStart w:id="55" w:name="_Toc404182373"/>
      <w:r>
        <w:lastRenderedPageBreak/>
        <w:t>Validação de duplicidade</w:t>
      </w:r>
      <w:bookmarkEnd w:id="54"/>
      <w:bookmarkEnd w:id="55"/>
    </w:p>
    <w:p w:rsidR="002D712A" w:rsidRDefault="002D712A" w:rsidP="002D712A">
      <w:pPr>
        <w:ind w:left="144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71"/>
        <w:gridCol w:w="5073"/>
      </w:tblGrid>
      <w:tr w:rsidR="002D712A" w:rsidTr="001B5E1C">
        <w:tc>
          <w:tcPr>
            <w:tcW w:w="8978" w:type="dxa"/>
            <w:gridSpan w:val="2"/>
            <w:shd w:val="clear" w:color="auto" w:fill="E6E6E6"/>
          </w:tcPr>
          <w:p w:rsidR="002D712A" w:rsidRDefault="002D712A" w:rsidP="001B5E1C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1. Regras Concessão</w:t>
            </w:r>
          </w:p>
        </w:tc>
      </w:tr>
      <w:tr w:rsidR="002D712A" w:rsidTr="001B5E1C">
        <w:tc>
          <w:tcPr>
            <w:tcW w:w="3676" w:type="dxa"/>
            <w:shd w:val="clear" w:color="auto" w:fill="F3F3F3"/>
          </w:tcPr>
          <w:p w:rsidR="002D712A" w:rsidRDefault="002D712A" w:rsidP="001B5E1C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Campos / listas</w:t>
            </w:r>
          </w:p>
        </w:tc>
        <w:tc>
          <w:tcPr>
            <w:tcW w:w="5302" w:type="dxa"/>
            <w:shd w:val="clear" w:color="auto" w:fill="F3F3F3"/>
          </w:tcPr>
          <w:p w:rsidR="002D712A" w:rsidRDefault="002D712A" w:rsidP="001B5E1C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Validação </w:t>
            </w:r>
          </w:p>
        </w:tc>
      </w:tr>
      <w:tr w:rsidR="002D712A" w:rsidTr="001B5E1C">
        <w:tc>
          <w:tcPr>
            <w:tcW w:w="3676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Lista de Períodos Aquisitivos: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- Data inicial do período aquisitivo a partir de (vários)</w:t>
            </w:r>
          </w:p>
        </w:tc>
        <w:tc>
          <w:tcPr>
            <w:tcW w:w="5302" w:type="dxa"/>
          </w:tcPr>
          <w:p w:rsidR="002D712A" w:rsidRDefault="002D712A" w:rsidP="001B5E1C">
            <w:pPr>
              <w:pStyle w:val="Corpodetexto"/>
              <w:ind w:left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Não podem existir registros com a mesma data inicial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color w:val="0000FF"/>
                <w:sz w:val="20"/>
              </w:rPr>
              <w:t xml:space="preserve">MSG0212: Este item já foi adicionado a lista. </w:t>
            </w:r>
          </w:p>
        </w:tc>
      </w:tr>
      <w:tr w:rsidR="002D712A" w:rsidTr="001B5E1C">
        <w:tc>
          <w:tcPr>
            <w:tcW w:w="3676" w:type="dxa"/>
          </w:tcPr>
          <w:p w:rsidR="002D712A" w:rsidRDefault="002D712A" w:rsidP="001B5E1C">
            <w:pPr>
              <w:rPr>
                <w:rFonts w:cs="Arial"/>
              </w:rPr>
            </w:pPr>
            <w:r>
              <w:rPr>
                <w:rFonts w:cs="Arial"/>
              </w:rPr>
              <w:t>Lista dias concedidos</w:t>
            </w:r>
          </w:p>
          <w:p w:rsidR="002D712A" w:rsidRDefault="002D712A" w:rsidP="001B5E1C">
            <w:pPr>
              <w:rPr>
                <w:rFonts w:cs="Arial"/>
              </w:rPr>
            </w:pPr>
            <w:r>
              <w:rPr>
                <w:rFonts w:cs="Arial"/>
              </w:rPr>
              <w:t>- Data de conquista a partir de (vários)</w:t>
            </w:r>
          </w:p>
        </w:tc>
        <w:tc>
          <w:tcPr>
            <w:tcW w:w="5302" w:type="dxa"/>
          </w:tcPr>
          <w:p w:rsidR="002D712A" w:rsidRDefault="002D712A" w:rsidP="001B5E1C">
            <w:pPr>
              <w:rPr>
                <w:rFonts w:cs="Arial"/>
              </w:rPr>
            </w:pPr>
            <w:r>
              <w:rPr>
                <w:rFonts w:cs="Arial"/>
              </w:rPr>
              <w:t>Não podem existir registros com a mesma data de conquista</w:t>
            </w:r>
          </w:p>
          <w:p w:rsidR="002D712A" w:rsidRDefault="002D712A" w:rsidP="001B5E1C">
            <w:pPr>
              <w:pStyle w:val="Cabealho"/>
              <w:rPr>
                <w:rFonts w:cs="Arial"/>
              </w:rPr>
            </w:pPr>
          </w:p>
          <w:p w:rsidR="002D712A" w:rsidRDefault="002D712A" w:rsidP="001B5E1C">
            <w:pPr>
              <w:rPr>
                <w:rFonts w:cs="Arial"/>
              </w:rPr>
            </w:pPr>
            <w:r>
              <w:rPr>
                <w:rFonts w:cs="Arial"/>
                <w:color w:val="0000FF"/>
                <w:sz w:val="20"/>
              </w:rPr>
              <w:t>MSG0212: Este item já foi adicionado a lista.</w:t>
            </w:r>
          </w:p>
        </w:tc>
      </w:tr>
    </w:tbl>
    <w:p w:rsidR="002D712A" w:rsidRDefault="002D712A" w:rsidP="002D712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5038"/>
      </w:tblGrid>
      <w:tr w:rsidR="002D712A" w:rsidTr="001B5E1C">
        <w:tc>
          <w:tcPr>
            <w:tcW w:w="8978" w:type="dxa"/>
            <w:gridSpan w:val="2"/>
            <w:shd w:val="clear" w:color="auto" w:fill="E6E6E6"/>
          </w:tcPr>
          <w:p w:rsidR="002D712A" w:rsidRDefault="002D712A" w:rsidP="001B5E1C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2. Regras do Usufruto</w:t>
            </w:r>
          </w:p>
        </w:tc>
      </w:tr>
      <w:tr w:rsidR="002D712A" w:rsidTr="001B5E1C">
        <w:tc>
          <w:tcPr>
            <w:tcW w:w="3676" w:type="dxa"/>
            <w:shd w:val="clear" w:color="auto" w:fill="F3F3F3"/>
          </w:tcPr>
          <w:p w:rsidR="002D712A" w:rsidRDefault="002D712A" w:rsidP="001B5E1C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Campos / listas</w:t>
            </w:r>
          </w:p>
        </w:tc>
        <w:tc>
          <w:tcPr>
            <w:tcW w:w="5302" w:type="dxa"/>
            <w:shd w:val="clear" w:color="auto" w:fill="F3F3F3"/>
          </w:tcPr>
          <w:p w:rsidR="002D712A" w:rsidRDefault="002D712A" w:rsidP="001B5E1C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Validação</w:t>
            </w:r>
          </w:p>
        </w:tc>
      </w:tr>
      <w:tr w:rsidR="002D712A" w:rsidTr="001B5E1C">
        <w:tc>
          <w:tcPr>
            <w:tcW w:w="3676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Listar de Períodos de suspensão do usufruto (vários)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- Data inicial da suspensão do usufruto e Data final da suspensão do usufruto</w:t>
            </w:r>
          </w:p>
        </w:tc>
        <w:tc>
          <w:tcPr>
            <w:tcW w:w="5302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Não pode haver registros com períodos concomitantes;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</w:p>
          <w:p w:rsidR="002D712A" w:rsidRDefault="002D712A" w:rsidP="001B5E1C">
            <w:pPr>
              <w:rPr>
                <w:rFonts w:cs="Arial"/>
                <w:color w:val="0000FF"/>
                <w:sz w:val="20"/>
                <w:szCs w:val="11"/>
              </w:rPr>
            </w:pPr>
            <w:r>
              <w:rPr>
                <w:rFonts w:cs="Arial"/>
                <w:color w:val="0000FF"/>
                <w:sz w:val="20"/>
              </w:rPr>
              <w:t xml:space="preserve">MSG1318: </w:t>
            </w:r>
            <w:r>
              <w:rPr>
                <w:rFonts w:cs="Arial"/>
                <w:color w:val="0000FF"/>
                <w:sz w:val="20"/>
                <w:szCs w:val="11"/>
              </w:rPr>
              <w:t xml:space="preserve">Não é permitido informar um período que </w:t>
            </w:r>
            <w:proofErr w:type="spellStart"/>
            <w:r>
              <w:rPr>
                <w:rFonts w:cs="Arial"/>
                <w:color w:val="0000FF"/>
                <w:sz w:val="20"/>
                <w:szCs w:val="11"/>
              </w:rPr>
              <w:t>concomite</w:t>
            </w:r>
            <w:proofErr w:type="spellEnd"/>
            <w:r>
              <w:rPr>
                <w:rFonts w:cs="Arial"/>
                <w:color w:val="0000FF"/>
                <w:sz w:val="20"/>
                <w:szCs w:val="11"/>
              </w:rPr>
              <w:t xml:space="preserve"> com outro(s) já existente(s).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</w:p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Quando informado um período, se houver períodos anteriores, a data final deve estar preenchida.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</w:p>
        </w:tc>
      </w:tr>
      <w:tr w:rsidR="002D712A" w:rsidTr="001B5E1C">
        <w:tc>
          <w:tcPr>
            <w:tcW w:w="3676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- Regra de ausência injustificada</w:t>
            </w:r>
          </w:p>
        </w:tc>
        <w:tc>
          <w:tcPr>
            <w:tcW w:w="5302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os campos 'Quantitativo limite de faltas (até)' e 'Número de dias a usufruir perdido' são únicos.</w:t>
            </w:r>
          </w:p>
          <w:p w:rsidR="002D712A" w:rsidRDefault="002D712A" w:rsidP="001B5E1C">
            <w:pPr>
              <w:rPr>
                <w:rFonts w:cs="Arial"/>
                <w:color w:val="0000FF"/>
                <w:sz w:val="20"/>
              </w:rPr>
            </w:pPr>
          </w:p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color w:val="0000FF"/>
                <w:sz w:val="20"/>
              </w:rPr>
              <w:t>MSG0212: Este item já foi adicionado a lista.</w:t>
            </w:r>
          </w:p>
        </w:tc>
      </w:tr>
      <w:tr w:rsidR="002D712A" w:rsidTr="001B5E1C">
        <w:tc>
          <w:tcPr>
            <w:tcW w:w="3676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Regras para Data de Conquista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lastRenderedPageBreak/>
              <w:t>-  Data da conquista a partir de</w:t>
            </w:r>
          </w:p>
        </w:tc>
        <w:tc>
          <w:tcPr>
            <w:tcW w:w="5302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lastRenderedPageBreak/>
              <w:t>Não podem existir registros com a mesma data de conquista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</w:p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color w:val="0000FF"/>
                <w:sz w:val="20"/>
              </w:rPr>
              <w:t>MSG0212: Este item já foi adicionado a lista.</w:t>
            </w:r>
          </w:p>
        </w:tc>
      </w:tr>
      <w:tr w:rsidR="002D712A" w:rsidTr="001B5E1C">
        <w:tc>
          <w:tcPr>
            <w:tcW w:w="3676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lastRenderedPageBreak/>
              <w:t>- Quantitativo Mensal Máximo de Servidores Permitidos a Usufruir a Licença Prêmio/assiduidade</w:t>
            </w:r>
          </w:p>
        </w:tc>
        <w:tc>
          <w:tcPr>
            <w:tcW w:w="5302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Campo ‘Percentual permitido’ obrigatório quando selecionado a opção percentual permitido. 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</w:p>
          <w:p w:rsidR="002D712A" w:rsidRDefault="002D712A" w:rsidP="001B5E1C">
            <w:pPr>
              <w:rPr>
                <w:rFonts w:cs="Arial"/>
                <w:color w:val="0000FF"/>
                <w:sz w:val="20"/>
              </w:rPr>
            </w:pPr>
            <w:r>
              <w:rPr>
                <w:rFonts w:cs="Arial"/>
                <w:color w:val="0000FF"/>
                <w:sz w:val="20"/>
              </w:rPr>
              <w:t>MSG0936: É obrigatório informar o campo %1 quando informado %2 ou</w:t>
            </w:r>
          </w:p>
          <w:p w:rsidR="002D712A" w:rsidRDefault="002D712A" w:rsidP="001B5E1C">
            <w:pPr>
              <w:rPr>
                <w:rFonts w:cs="Arial"/>
                <w:color w:val="0000FF"/>
                <w:sz w:val="22"/>
              </w:rPr>
            </w:pPr>
            <w:r>
              <w:rPr>
                <w:rFonts w:cs="Arial"/>
                <w:color w:val="0000FF"/>
                <w:sz w:val="20"/>
              </w:rPr>
              <w:t>MSG1096: Só é permitido informar %1 quando for informado %2.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</w:p>
        </w:tc>
      </w:tr>
    </w:tbl>
    <w:p w:rsidR="002D712A" w:rsidRDefault="002D712A" w:rsidP="002D712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2"/>
        <w:gridCol w:w="5032"/>
      </w:tblGrid>
      <w:tr w:rsidR="002D712A" w:rsidTr="001B5E1C">
        <w:tc>
          <w:tcPr>
            <w:tcW w:w="8978" w:type="dxa"/>
            <w:gridSpan w:val="2"/>
            <w:shd w:val="clear" w:color="auto" w:fill="E6E6E6"/>
          </w:tcPr>
          <w:p w:rsidR="002D712A" w:rsidRDefault="002D712A" w:rsidP="001B5E1C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3. Regras Perda do Usufruto</w:t>
            </w:r>
          </w:p>
        </w:tc>
      </w:tr>
      <w:tr w:rsidR="002D712A" w:rsidTr="001B5E1C">
        <w:tc>
          <w:tcPr>
            <w:tcW w:w="3676" w:type="dxa"/>
            <w:shd w:val="clear" w:color="auto" w:fill="F3F3F3"/>
          </w:tcPr>
          <w:p w:rsidR="002D712A" w:rsidRDefault="002D712A" w:rsidP="001B5E1C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Campos / listas</w:t>
            </w:r>
          </w:p>
        </w:tc>
        <w:tc>
          <w:tcPr>
            <w:tcW w:w="5302" w:type="dxa"/>
            <w:shd w:val="clear" w:color="auto" w:fill="F3F3F3"/>
          </w:tcPr>
          <w:p w:rsidR="002D712A" w:rsidRDefault="002D712A" w:rsidP="001B5E1C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Validação</w:t>
            </w:r>
          </w:p>
        </w:tc>
      </w:tr>
      <w:tr w:rsidR="002D712A" w:rsidTr="001B5E1C">
        <w:tc>
          <w:tcPr>
            <w:tcW w:w="3676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Regras para Perda do Usufruto da Licença Prêmio/assiduidade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- Data da conquista, a partir de</w:t>
            </w:r>
          </w:p>
        </w:tc>
        <w:tc>
          <w:tcPr>
            <w:tcW w:w="5302" w:type="dxa"/>
          </w:tcPr>
          <w:p w:rsidR="002D712A" w:rsidRDefault="002D712A" w:rsidP="001B5E1C">
            <w:pPr>
              <w:rPr>
                <w:rFonts w:cs="Arial"/>
              </w:rPr>
            </w:pPr>
            <w:r>
              <w:rPr>
                <w:rFonts w:cs="Arial"/>
              </w:rPr>
              <w:t>Não podem existir registros com a mesma data de conquista</w:t>
            </w:r>
          </w:p>
          <w:p w:rsidR="002D712A" w:rsidRDefault="002D712A" w:rsidP="001B5E1C">
            <w:pPr>
              <w:rPr>
                <w:rFonts w:cs="Arial"/>
              </w:rPr>
            </w:pPr>
          </w:p>
          <w:p w:rsidR="002D712A" w:rsidRDefault="002D712A" w:rsidP="001B5E1C">
            <w:pPr>
              <w:rPr>
                <w:rFonts w:cs="Arial"/>
                <w:color w:val="0000FF"/>
              </w:rPr>
            </w:pPr>
            <w:r>
              <w:rPr>
                <w:rFonts w:cs="Arial"/>
                <w:color w:val="0000FF"/>
                <w:sz w:val="20"/>
              </w:rPr>
              <w:t>MSG0212: Este item já foi adicionado a lista.</w:t>
            </w:r>
          </w:p>
          <w:p w:rsidR="002D712A" w:rsidRDefault="002D712A" w:rsidP="001B5E1C">
            <w:pPr>
              <w:rPr>
                <w:rFonts w:cs="Arial"/>
              </w:rPr>
            </w:pPr>
          </w:p>
        </w:tc>
      </w:tr>
    </w:tbl>
    <w:p w:rsidR="002D712A" w:rsidRDefault="002D712A" w:rsidP="002D712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3"/>
        <w:gridCol w:w="5031"/>
      </w:tblGrid>
      <w:tr w:rsidR="002D712A" w:rsidTr="001B5E1C">
        <w:tc>
          <w:tcPr>
            <w:tcW w:w="8978" w:type="dxa"/>
            <w:gridSpan w:val="2"/>
            <w:shd w:val="clear" w:color="auto" w:fill="E6E6E6"/>
          </w:tcPr>
          <w:p w:rsidR="002D712A" w:rsidRDefault="002D712A" w:rsidP="001B5E1C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4. Regras Indenização</w:t>
            </w:r>
          </w:p>
        </w:tc>
      </w:tr>
      <w:tr w:rsidR="002D712A" w:rsidTr="001B5E1C">
        <w:tc>
          <w:tcPr>
            <w:tcW w:w="3676" w:type="dxa"/>
            <w:shd w:val="clear" w:color="auto" w:fill="F3F3F3"/>
          </w:tcPr>
          <w:p w:rsidR="002D712A" w:rsidRDefault="002D712A" w:rsidP="001B5E1C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Campos / listas</w:t>
            </w:r>
          </w:p>
        </w:tc>
        <w:tc>
          <w:tcPr>
            <w:tcW w:w="5302" w:type="dxa"/>
            <w:shd w:val="clear" w:color="auto" w:fill="F3F3F3"/>
          </w:tcPr>
          <w:p w:rsidR="002D712A" w:rsidRDefault="002D712A" w:rsidP="001B5E1C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Validação</w:t>
            </w:r>
          </w:p>
        </w:tc>
      </w:tr>
      <w:tr w:rsidR="002D712A" w:rsidTr="001B5E1C">
        <w:tc>
          <w:tcPr>
            <w:tcW w:w="3676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Regras para indenização da licença prêmio/assiduidade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- Período da suspensão de indenização.</w:t>
            </w:r>
          </w:p>
        </w:tc>
        <w:tc>
          <w:tcPr>
            <w:tcW w:w="5302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Os períodos não podem </w:t>
            </w:r>
            <w:proofErr w:type="spellStart"/>
            <w:r>
              <w:rPr>
                <w:rFonts w:cs="Arial"/>
                <w:sz w:val="22"/>
              </w:rPr>
              <w:t>concomitar</w:t>
            </w:r>
            <w:proofErr w:type="spellEnd"/>
            <w:r>
              <w:rPr>
                <w:rFonts w:cs="Arial"/>
                <w:sz w:val="22"/>
              </w:rPr>
              <w:t>; Caso exista um período anterior, a data final (até) deve estar preenchido.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</w:p>
          <w:p w:rsidR="002D712A" w:rsidRDefault="002D712A" w:rsidP="001B5E1C">
            <w:pPr>
              <w:rPr>
                <w:rFonts w:cs="Arial"/>
                <w:color w:val="0000FF"/>
                <w:sz w:val="20"/>
                <w:szCs w:val="11"/>
              </w:rPr>
            </w:pPr>
            <w:r>
              <w:rPr>
                <w:rFonts w:cs="Arial"/>
                <w:color w:val="0000FF"/>
                <w:sz w:val="20"/>
              </w:rPr>
              <w:t xml:space="preserve">MSG1318: </w:t>
            </w:r>
            <w:r>
              <w:rPr>
                <w:rFonts w:cs="Arial"/>
                <w:color w:val="0000FF"/>
                <w:sz w:val="20"/>
                <w:szCs w:val="11"/>
              </w:rPr>
              <w:t xml:space="preserve">Não é permitido informar um período que </w:t>
            </w:r>
            <w:proofErr w:type="spellStart"/>
            <w:r>
              <w:rPr>
                <w:rFonts w:cs="Arial"/>
                <w:color w:val="0000FF"/>
                <w:sz w:val="20"/>
                <w:szCs w:val="11"/>
              </w:rPr>
              <w:t>concomite</w:t>
            </w:r>
            <w:proofErr w:type="spellEnd"/>
            <w:r>
              <w:rPr>
                <w:rFonts w:cs="Arial"/>
                <w:color w:val="0000FF"/>
                <w:sz w:val="20"/>
                <w:szCs w:val="11"/>
              </w:rPr>
              <w:t xml:space="preserve"> com outro(s) já existente(s).</w:t>
            </w:r>
          </w:p>
          <w:p w:rsidR="002D712A" w:rsidRDefault="002D712A" w:rsidP="001B5E1C">
            <w:pPr>
              <w:rPr>
                <w:rFonts w:cs="Arial"/>
              </w:rPr>
            </w:pPr>
          </w:p>
        </w:tc>
      </w:tr>
      <w:tr w:rsidR="002D712A" w:rsidTr="001B5E1C">
        <w:tc>
          <w:tcPr>
            <w:tcW w:w="3676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Regras para Indenização da Licença Prêmio/Assiduidade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- Data de conquista até</w:t>
            </w:r>
          </w:p>
        </w:tc>
        <w:tc>
          <w:tcPr>
            <w:tcW w:w="5302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Não podem existir registros com a mesma data de conquista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</w:p>
          <w:p w:rsidR="002D712A" w:rsidRDefault="002D712A" w:rsidP="001B5E1C">
            <w:pPr>
              <w:rPr>
                <w:rFonts w:cs="Arial"/>
                <w:color w:val="0000FF"/>
                <w:sz w:val="22"/>
              </w:rPr>
            </w:pPr>
            <w:r>
              <w:rPr>
                <w:rFonts w:cs="Arial"/>
                <w:color w:val="0000FF"/>
                <w:sz w:val="20"/>
              </w:rPr>
              <w:t>MSG0212: Este item já foi adicionado a lista.</w:t>
            </w:r>
          </w:p>
        </w:tc>
      </w:tr>
      <w:tr w:rsidR="002D712A" w:rsidTr="001B5E1C">
        <w:tc>
          <w:tcPr>
            <w:tcW w:w="3676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lastRenderedPageBreak/>
              <w:t>Períodos de meses permitidos para pagamento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- Mês inicial  e Mês final</w:t>
            </w:r>
          </w:p>
        </w:tc>
        <w:tc>
          <w:tcPr>
            <w:tcW w:w="5302" w:type="dxa"/>
          </w:tcPr>
          <w:p w:rsidR="002D712A" w:rsidRDefault="002D712A" w:rsidP="001B5E1C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Não podem </w:t>
            </w:r>
            <w:proofErr w:type="spellStart"/>
            <w:r>
              <w:rPr>
                <w:rFonts w:cs="Arial"/>
                <w:sz w:val="22"/>
              </w:rPr>
              <w:t>concomitar</w:t>
            </w:r>
            <w:proofErr w:type="spellEnd"/>
            <w:r>
              <w:rPr>
                <w:rFonts w:cs="Arial"/>
                <w:sz w:val="22"/>
              </w:rPr>
              <w:t>; Caso exista um período anterior, este deve estar com o mês final preenchido.</w:t>
            </w:r>
          </w:p>
          <w:p w:rsidR="002D712A" w:rsidRDefault="002D712A" w:rsidP="001B5E1C">
            <w:pPr>
              <w:rPr>
                <w:rFonts w:cs="Arial"/>
                <w:sz w:val="22"/>
              </w:rPr>
            </w:pPr>
          </w:p>
          <w:p w:rsidR="002D712A" w:rsidRDefault="002D712A" w:rsidP="001B5E1C">
            <w:pPr>
              <w:rPr>
                <w:rFonts w:cs="Arial"/>
                <w:color w:val="0000FF"/>
                <w:sz w:val="20"/>
              </w:rPr>
            </w:pPr>
            <w:r>
              <w:rPr>
                <w:rFonts w:cs="Arial"/>
                <w:color w:val="0000FF"/>
                <w:sz w:val="20"/>
              </w:rPr>
              <w:t xml:space="preserve">MSG1318: </w:t>
            </w:r>
            <w:r>
              <w:rPr>
                <w:rFonts w:cs="Arial"/>
                <w:color w:val="0000FF"/>
                <w:sz w:val="20"/>
                <w:szCs w:val="11"/>
              </w:rPr>
              <w:t xml:space="preserve">Não é permitido informar um período que </w:t>
            </w:r>
            <w:proofErr w:type="spellStart"/>
            <w:r>
              <w:rPr>
                <w:rFonts w:cs="Arial"/>
                <w:color w:val="0000FF"/>
                <w:sz w:val="20"/>
                <w:szCs w:val="11"/>
              </w:rPr>
              <w:t>concomite</w:t>
            </w:r>
            <w:proofErr w:type="spellEnd"/>
            <w:r>
              <w:rPr>
                <w:rFonts w:cs="Arial"/>
                <w:color w:val="0000FF"/>
                <w:sz w:val="20"/>
                <w:szCs w:val="11"/>
              </w:rPr>
              <w:t xml:space="preserve"> com outro(s) já existente(s).</w:t>
            </w:r>
          </w:p>
        </w:tc>
      </w:tr>
    </w:tbl>
    <w:p w:rsidR="002D712A" w:rsidRDefault="002D712A" w:rsidP="002D712A"/>
    <w:p w:rsidR="002D712A" w:rsidRDefault="002D712A" w:rsidP="002D712A">
      <w:pPr>
        <w:ind w:left="1440"/>
      </w:pPr>
    </w:p>
    <w:p w:rsidR="002D712A" w:rsidRDefault="002D712A" w:rsidP="002D712A">
      <w:pPr>
        <w:ind w:left="1440"/>
      </w:pPr>
    </w:p>
    <w:p w:rsidR="002D712A" w:rsidRDefault="002D712A" w:rsidP="002D712A">
      <w:pPr>
        <w:ind w:left="1440"/>
        <w:rPr>
          <w:rStyle w:val="SoDAField"/>
          <w:b/>
          <w:bCs/>
          <w:color w:val="FF0000"/>
        </w:rPr>
      </w:pPr>
    </w:p>
    <w:p w:rsidR="002D712A" w:rsidRDefault="002D712A" w:rsidP="002D712A">
      <w:pPr>
        <w:ind w:left="1440"/>
        <w:rPr>
          <w:rStyle w:val="SoDAField"/>
          <w:b/>
          <w:bCs/>
          <w:color w:val="FF0000"/>
        </w:rPr>
      </w:pPr>
    </w:p>
    <w:p w:rsidR="002D712A" w:rsidRDefault="002D712A" w:rsidP="002D712A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56" w:name="_Toc193689488"/>
      <w:bookmarkStart w:id="57" w:name="_Toc404182374"/>
      <w:r>
        <w:t>Gerenciamento de vigência.</w:t>
      </w:r>
      <w:bookmarkEnd w:id="56"/>
      <w:bookmarkEnd w:id="57"/>
    </w:p>
    <w:p w:rsidR="002D712A" w:rsidRDefault="002D712A" w:rsidP="002D712A">
      <w:pPr>
        <w:ind w:left="1080"/>
        <w:rPr>
          <w:rFonts w:eastAsia="Arial Unicode MS" w:cs="Arial"/>
        </w:rPr>
      </w:pPr>
      <w:r>
        <w:rPr>
          <w:rFonts w:eastAsia="Arial Unicode MS" w:cs="Arial"/>
        </w:rPr>
        <w:t xml:space="preserve">O sistema deve manter as informações desta funcionalidade para </w:t>
      </w:r>
      <w:r>
        <w:rPr>
          <w:rFonts w:eastAsia="Arial Unicode MS" w:cs="Arial"/>
          <w:b/>
          <w:bCs/>
        </w:rPr>
        <w:t>vigência</w:t>
      </w:r>
      <w:r>
        <w:rPr>
          <w:rFonts w:eastAsia="Arial Unicode MS" w:cs="Arial"/>
        </w:rPr>
        <w:t>, conforme as regras e exemplos incluídos nos documentos:</w:t>
      </w:r>
    </w:p>
    <w:p w:rsidR="002D712A" w:rsidRDefault="002D712A" w:rsidP="002D712A">
      <w:pPr>
        <w:numPr>
          <w:ilvl w:val="0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>#9838 - SIGRH - CAD - Gerenciamento de Vigência –Técnico”.</w:t>
      </w:r>
    </w:p>
    <w:p w:rsidR="002D712A" w:rsidRDefault="002D712A" w:rsidP="002D712A">
      <w:pPr>
        <w:numPr>
          <w:ilvl w:val="0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>#11326 - SIGRH - CAD - Vigência - Diagrama de Atividades”.</w:t>
      </w:r>
    </w:p>
    <w:p w:rsidR="002D712A" w:rsidRDefault="002D712A" w:rsidP="002D712A">
      <w:pPr>
        <w:widowControl w:val="0"/>
        <w:ind w:left="1080"/>
        <w:rPr>
          <w:rFonts w:cs="Arial"/>
        </w:rPr>
      </w:pPr>
      <w:r>
        <w:br w:type="page"/>
      </w:r>
    </w:p>
    <w:p w:rsidR="002D712A" w:rsidRDefault="002D712A" w:rsidP="002D712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58" w:name="_Toc404182375"/>
      <w:r>
        <w:lastRenderedPageBreak/>
        <w:t>Revisões</w:t>
      </w:r>
      <w:bookmarkEnd w:id="58"/>
    </w:p>
    <w:p w:rsidR="002D712A" w:rsidRDefault="002D712A" w:rsidP="002D712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D712A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712A" w:rsidRPr="002D712A" w:rsidRDefault="002D712A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D712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712A" w:rsidRPr="002D712A" w:rsidRDefault="002D712A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D712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712A" w:rsidRPr="002D712A" w:rsidRDefault="002D712A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D712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712A" w:rsidRPr="002D712A" w:rsidRDefault="002D712A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D712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712A" w:rsidRPr="002D712A" w:rsidRDefault="002D712A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D712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D712A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E6647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D712A" w:rsidRDefault="002D712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Pr="00E66470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 w:rsidRPr="00E6647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712A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712A" w:rsidRDefault="002D712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712A" w:rsidRDefault="002D712A" w:rsidP="00E6647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712A" w:rsidRDefault="002D712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D712A" w:rsidRDefault="002D712A" w:rsidP="002D712A">
      <w:pPr>
        <w:pStyle w:val="Recuodecorpodetexto"/>
      </w:pPr>
    </w:p>
    <w:p w:rsidR="002D712A" w:rsidRDefault="002D712A" w:rsidP="002D712A"/>
    <w:p w:rsidR="002D712A" w:rsidRDefault="002D712A" w:rsidP="002D712A"/>
    <w:p w:rsidR="00F41655" w:rsidRPr="002D712A" w:rsidRDefault="00F41655" w:rsidP="002D712A"/>
    <w:sectPr w:rsidR="00F41655" w:rsidRPr="002D712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712A" w:rsidRDefault="002D712A" w:rsidP="002908D9">
      <w:r>
        <w:separator/>
      </w:r>
    </w:p>
  </w:endnote>
  <w:endnote w:type="continuationSeparator" w:id="0">
    <w:p w:rsidR="002D712A" w:rsidRDefault="002D712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C249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D712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6647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66470">
            <w:rPr>
              <w:sz w:val="20"/>
              <w:szCs w:val="20"/>
            </w:rPr>
            <w:t xml:space="preserve">Keila </w:t>
          </w:r>
          <w:proofErr w:type="spellStart"/>
          <w:r w:rsidRPr="00E66470">
            <w:rPr>
              <w:sz w:val="20"/>
              <w:szCs w:val="20"/>
            </w:rPr>
            <w:t>Joanês</w:t>
          </w:r>
          <w:proofErr w:type="spellEnd"/>
          <w:r w:rsidRPr="00E6647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6647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D712A">
            <w:rPr>
              <w:b/>
              <w:sz w:val="20"/>
              <w:szCs w:val="20"/>
            </w:rPr>
            <w:t>Afastamento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2D712A">
            <w:rPr>
              <w:b/>
              <w:sz w:val="20"/>
              <w:szCs w:val="20"/>
            </w:rPr>
            <w:t xml:space="preserve"> </w:t>
          </w:r>
          <w:proofErr w:type="gramEnd"/>
          <w:r w:rsidR="002D712A">
            <w:rPr>
              <w:b/>
              <w:sz w:val="20"/>
              <w:szCs w:val="20"/>
            </w:rPr>
            <w:t>Licença Prêmio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D712A">
            <w:rPr>
              <w:b/>
              <w:sz w:val="20"/>
              <w:szCs w:val="20"/>
            </w:rPr>
            <w:t>UCS0361</w:t>
          </w:r>
          <w:r w:rsidR="00E66470">
            <w:rPr>
              <w:b/>
              <w:sz w:val="20"/>
              <w:szCs w:val="20"/>
            </w:rPr>
            <w:t xml:space="preserve"> - Manter Par. Licença Prêmio Cargos Efetivos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1D0BF39" wp14:editId="2044CDC4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712A" w:rsidRDefault="002D712A" w:rsidP="002908D9">
      <w:r>
        <w:separator/>
      </w:r>
    </w:p>
  </w:footnote>
  <w:footnote w:type="continuationSeparator" w:id="0">
    <w:p w:rsidR="002D712A" w:rsidRDefault="002D712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BE788EC" wp14:editId="7C7CB39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70219B1" wp14:editId="06A08EEB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4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58978B43" wp14:editId="48C66487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E0B6B0D" wp14:editId="1716D407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47609C4"/>
    <w:multiLevelType w:val="singleLevel"/>
    <w:tmpl w:val="B686A4EE"/>
    <w:lvl w:ilvl="0">
      <w:start w:val="1"/>
      <w:numFmt w:val="decimal"/>
      <w:pStyle w:val="iii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6F350FB"/>
    <w:multiLevelType w:val="hybridMultilevel"/>
    <w:tmpl w:val="6BDEA790"/>
    <w:lvl w:ilvl="0" w:tplc="119CD26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2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3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4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9"/>
  </w:num>
  <w:num w:numId="2">
    <w:abstractNumId w:val="13"/>
  </w:num>
  <w:num w:numId="3">
    <w:abstractNumId w:val="3"/>
  </w:num>
  <w:num w:numId="4">
    <w:abstractNumId w:val="19"/>
  </w:num>
  <w:num w:numId="5">
    <w:abstractNumId w:val="15"/>
  </w:num>
  <w:num w:numId="6">
    <w:abstractNumId w:val="18"/>
  </w:num>
  <w:num w:numId="7">
    <w:abstractNumId w:val="10"/>
  </w:num>
  <w:num w:numId="8">
    <w:abstractNumId w:val="1"/>
  </w:num>
  <w:num w:numId="9">
    <w:abstractNumId w:val="7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2"/>
  </w:num>
  <w:num w:numId="15">
    <w:abstractNumId w:val="6"/>
  </w:num>
  <w:num w:numId="16">
    <w:abstractNumId w:val="14"/>
  </w:num>
  <w:num w:numId="17">
    <w:abstractNumId w:val="4"/>
  </w:num>
  <w:num w:numId="18">
    <w:abstractNumId w:val="11"/>
  </w:num>
  <w:num w:numId="19">
    <w:abstractNumId w:val="5"/>
  </w:num>
  <w:num w:numId="20">
    <w:abstractNumId w:val="8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12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90E77"/>
    <w:rsid w:val="002D336A"/>
    <w:rsid w:val="002D712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C4699"/>
    <w:rsid w:val="007E2985"/>
    <w:rsid w:val="00845060"/>
    <w:rsid w:val="008806C7"/>
    <w:rsid w:val="0091194C"/>
    <w:rsid w:val="009123FD"/>
    <w:rsid w:val="009C40FA"/>
    <w:rsid w:val="00A92AC7"/>
    <w:rsid w:val="00AC2496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30856"/>
    <w:rsid w:val="00C80215"/>
    <w:rsid w:val="00CA0CEF"/>
    <w:rsid w:val="00DB0139"/>
    <w:rsid w:val="00DF1DDA"/>
    <w:rsid w:val="00E66470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712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D712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D712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D712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D712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2D712A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2D712A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2D712A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2D712A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2D712A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D712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D712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D712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D712A"/>
    <w:pPr>
      <w:ind w:left="0"/>
    </w:pPr>
  </w:style>
  <w:style w:type="paragraph" w:styleId="ndicedeilustraes">
    <w:name w:val="table of figures"/>
    <w:basedOn w:val="Normal"/>
    <w:next w:val="Normal"/>
    <w:semiHidden/>
    <w:rsid w:val="002D712A"/>
  </w:style>
  <w:style w:type="paragraph" w:styleId="Sumrio2">
    <w:name w:val="toc 2"/>
    <w:basedOn w:val="Normal"/>
    <w:next w:val="Normal"/>
    <w:autoRedefine/>
    <w:uiPriority w:val="39"/>
    <w:rsid w:val="002D712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D712A"/>
    <w:pPr>
      <w:ind w:left="480"/>
    </w:pPr>
  </w:style>
  <w:style w:type="character" w:styleId="Hyperlink">
    <w:name w:val="Hyperlink"/>
    <w:basedOn w:val="Fontepargpadro"/>
    <w:uiPriority w:val="99"/>
    <w:rsid w:val="002D712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D712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D712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D712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D712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D712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D712A"/>
    <w:rPr>
      <w:sz w:val="16"/>
    </w:rPr>
  </w:style>
  <w:style w:type="character" w:styleId="Nmerodepgina">
    <w:name w:val="page number"/>
    <w:basedOn w:val="Fontepargpadro"/>
    <w:rsid w:val="002D712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D712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D71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D712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D712A"/>
  </w:style>
  <w:style w:type="character" w:customStyle="1" w:styleId="Ttulo5Char">
    <w:name w:val="Título 5 Char"/>
    <w:basedOn w:val="Fontepargpadro"/>
    <w:link w:val="Ttulo5"/>
    <w:rsid w:val="002D712A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2D712A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2D712A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2D712A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2D712A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2D712A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2D712A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2D712A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2D712A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2D712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D712A"/>
    <w:rPr>
      <w:rFonts w:eastAsia="Arial Unicode MS"/>
    </w:rPr>
  </w:style>
  <w:style w:type="paragraph" w:customStyle="1" w:styleId="tabletext">
    <w:name w:val="tabletext"/>
    <w:basedOn w:val="Normal"/>
    <w:rsid w:val="002D712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2D712A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2D712A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2D712A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2D712A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2D712A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2D712A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2D712A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2D712A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2D712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D712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D712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D712A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2D712A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2D712A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2D712A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2D712A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2D712A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2D712A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2D712A"/>
    <w:rPr>
      <w:color w:val="0000FF"/>
    </w:rPr>
  </w:style>
  <w:style w:type="character" w:styleId="Refdecomentrio">
    <w:name w:val="annotation reference"/>
    <w:basedOn w:val="Fontepargpadro"/>
    <w:rsid w:val="002D712A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2D712A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2D712A"/>
    <w:rPr>
      <w:lang w:eastAsia="en-US"/>
    </w:rPr>
  </w:style>
  <w:style w:type="paragraph" w:styleId="Corpodetexto2">
    <w:name w:val="Body Text 2"/>
    <w:basedOn w:val="Normal"/>
    <w:link w:val="Corpodetexto2Char"/>
    <w:rsid w:val="002D712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D712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D712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D712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D712A"/>
    <w:pPr>
      <w:widowControl w:val="0"/>
    </w:pPr>
    <w:rPr>
      <w:rFonts w:ascii="Arial" w:hAnsi="Arial"/>
      <w:color w:val="000000"/>
      <w:sz w:val="24"/>
      <w:lang w:val="en-US"/>
    </w:rPr>
  </w:style>
  <w:style w:type="paragraph" w:customStyle="1" w:styleId="iii">
    <w:name w:val="iii"/>
    <w:basedOn w:val="Normal"/>
    <w:rsid w:val="002D712A"/>
    <w:pPr>
      <w:numPr>
        <w:numId w:val="19"/>
      </w:numPr>
      <w:spacing w:before="20" w:after="20" w:line="240" w:lineRule="auto"/>
    </w:pPr>
    <w:rPr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712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D712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D712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D712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D712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2D712A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2D712A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2D712A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2D712A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2D712A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D712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D712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D712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D712A"/>
    <w:pPr>
      <w:ind w:left="0"/>
    </w:pPr>
  </w:style>
  <w:style w:type="paragraph" w:styleId="ndicedeilustraes">
    <w:name w:val="table of figures"/>
    <w:basedOn w:val="Normal"/>
    <w:next w:val="Normal"/>
    <w:semiHidden/>
    <w:rsid w:val="002D712A"/>
  </w:style>
  <w:style w:type="paragraph" w:styleId="Sumrio2">
    <w:name w:val="toc 2"/>
    <w:basedOn w:val="Normal"/>
    <w:next w:val="Normal"/>
    <w:autoRedefine/>
    <w:uiPriority w:val="39"/>
    <w:rsid w:val="002D712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D712A"/>
    <w:pPr>
      <w:ind w:left="480"/>
    </w:pPr>
  </w:style>
  <w:style w:type="character" w:styleId="Hyperlink">
    <w:name w:val="Hyperlink"/>
    <w:basedOn w:val="Fontepargpadro"/>
    <w:uiPriority w:val="99"/>
    <w:rsid w:val="002D712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D712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D712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D712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D712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D712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D712A"/>
    <w:rPr>
      <w:sz w:val="16"/>
    </w:rPr>
  </w:style>
  <w:style w:type="character" w:styleId="Nmerodepgina">
    <w:name w:val="page number"/>
    <w:basedOn w:val="Fontepargpadro"/>
    <w:rsid w:val="002D712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D712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D71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D712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D712A"/>
  </w:style>
  <w:style w:type="character" w:customStyle="1" w:styleId="Ttulo5Char">
    <w:name w:val="Título 5 Char"/>
    <w:basedOn w:val="Fontepargpadro"/>
    <w:link w:val="Ttulo5"/>
    <w:rsid w:val="002D712A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2D712A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2D712A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2D712A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2D712A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2D712A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2D712A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2D712A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2D712A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2D712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D712A"/>
    <w:rPr>
      <w:rFonts w:eastAsia="Arial Unicode MS"/>
    </w:rPr>
  </w:style>
  <w:style w:type="paragraph" w:customStyle="1" w:styleId="tabletext">
    <w:name w:val="tabletext"/>
    <w:basedOn w:val="Normal"/>
    <w:rsid w:val="002D712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2D712A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2D712A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2D712A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2D712A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2D712A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2D712A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2D712A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2D712A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2D712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D712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D712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D712A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2D712A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2D712A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2D712A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2D712A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2D712A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2D712A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2D712A"/>
    <w:rPr>
      <w:color w:val="0000FF"/>
    </w:rPr>
  </w:style>
  <w:style w:type="character" w:styleId="Refdecomentrio">
    <w:name w:val="annotation reference"/>
    <w:basedOn w:val="Fontepargpadro"/>
    <w:rsid w:val="002D712A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2D712A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2D712A"/>
    <w:rPr>
      <w:lang w:eastAsia="en-US"/>
    </w:rPr>
  </w:style>
  <w:style w:type="paragraph" w:styleId="Corpodetexto2">
    <w:name w:val="Body Text 2"/>
    <w:basedOn w:val="Normal"/>
    <w:link w:val="Corpodetexto2Char"/>
    <w:rsid w:val="002D712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D712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D712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D712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D712A"/>
    <w:pPr>
      <w:widowControl w:val="0"/>
    </w:pPr>
    <w:rPr>
      <w:rFonts w:ascii="Arial" w:hAnsi="Arial"/>
      <w:color w:val="000000"/>
      <w:sz w:val="24"/>
      <w:lang w:val="en-US"/>
    </w:rPr>
  </w:style>
  <w:style w:type="paragraph" w:customStyle="1" w:styleId="iii">
    <w:name w:val="iii"/>
    <w:basedOn w:val="Normal"/>
    <w:rsid w:val="002D712A"/>
    <w:pPr>
      <w:numPr>
        <w:numId w:val="19"/>
      </w:numPr>
      <w:spacing w:before="20" w:after="20" w:line="240" w:lineRule="auto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E331BC-96CB-4405-8601-183A99254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26</Pages>
  <Words>5352</Words>
  <Characters>32078</Characters>
  <Application>Microsoft Office Word</Application>
  <DocSecurity>0</DocSecurity>
  <Lines>267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37356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2014-11-08T02:58:00Z</cp:lastPrinted>
  <dcterms:created xsi:type="dcterms:W3CDTF">2014-11-08T02:57:00Z</dcterms:created>
  <dcterms:modified xsi:type="dcterms:W3CDTF">2014-11-19T19:43:00Z</dcterms:modified>
</cp:coreProperties>
</file>