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0D02" w:rsidRDefault="00870D02" w:rsidP="00870D0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70D02" w:rsidRDefault="00870D02" w:rsidP="00870D02">
      <w:pPr>
        <w:widowControl w:val="0"/>
        <w:rPr>
          <w:rFonts w:cs="Arial"/>
          <w:sz w:val="20"/>
        </w:rPr>
      </w:pPr>
    </w:p>
    <w:p w:rsidR="00870D02" w:rsidRDefault="00870D02" w:rsidP="00870D02">
      <w:pPr>
        <w:widowControl w:val="0"/>
        <w:rPr>
          <w:rFonts w:cs="Arial"/>
          <w:sz w:val="20"/>
        </w:rPr>
      </w:pPr>
    </w:p>
    <w:p w:rsidR="00870D02" w:rsidRDefault="00870D02" w:rsidP="00870D02">
      <w:pPr>
        <w:widowControl w:val="0"/>
        <w:rPr>
          <w:rFonts w:cs="Arial"/>
          <w:sz w:val="20"/>
        </w:rPr>
      </w:pPr>
    </w:p>
    <w:p w:rsidR="00870D02" w:rsidRDefault="00870D02" w:rsidP="00870D02">
      <w:pPr>
        <w:widowControl w:val="0"/>
        <w:rPr>
          <w:rFonts w:cs="Arial"/>
          <w:sz w:val="20"/>
        </w:rPr>
      </w:pPr>
    </w:p>
    <w:p w:rsidR="00870D02" w:rsidRDefault="00870D02" w:rsidP="00870D0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70D02" w:rsidRDefault="00870D02" w:rsidP="00870D02">
      <w:pPr>
        <w:widowControl w:val="0"/>
        <w:rPr>
          <w:rFonts w:cs="Arial"/>
          <w:sz w:val="20"/>
          <w:u w:val="single"/>
        </w:rPr>
      </w:pPr>
    </w:p>
    <w:p w:rsidR="00870D02" w:rsidRDefault="00870D02" w:rsidP="00870D0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70D02" w:rsidRDefault="00870D02" w:rsidP="00870D02">
      <w:pPr>
        <w:widowControl w:val="0"/>
        <w:rPr>
          <w:rFonts w:cs="Arial"/>
          <w:sz w:val="20"/>
        </w:rPr>
      </w:pPr>
    </w:p>
    <w:p w:rsidR="00870D02" w:rsidRDefault="00870D02" w:rsidP="00870D02">
      <w:pPr>
        <w:widowControl w:val="0"/>
        <w:rPr>
          <w:rFonts w:cs="Arial"/>
          <w:sz w:val="20"/>
        </w:rPr>
      </w:pPr>
    </w:p>
    <w:p w:rsidR="00870D02" w:rsidRDefault="00870D02" w:rsidP="00870D02">
      <w:pPr>
        <w:widowControl w:val="0"/>
        <w:rPr>
          <w:rFonts w:cs="Arial"/>
          <w:sz w:val="20"/>
        </w:rPr>
      </w:pPr>
    </w:p>
    <w:p w:rsidR="00870D02" w:rsidRDefault="00870D02" w:rsidP="00870D0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70D02" w:rsidRDefault="00870D02" w:rsidP="00870D02">
      <w:pPr>
        <w:widowControl w:val="0"/>
        <w:rPr>
          <w:rFonts w:cs="Arial"/>
          <w:sz w:val="20"/>
        </w:rPr>
      </w:pPr>
    </w:p>
    <w:p w:rsidR="00870D02" w:rsidRDefault="00870D02" w:rsidP="00870D02">
      <w:pPr>
        <w:widowControl w:val="0"/>
        <w:rPr>
          <w:rFonts w:cs="Arial"/>
          <w:sz w:val="20"/>
        </w:rPr>
      </w:pPr>
    </w:p>
    <w:p w:rsidR="00870D02" w:rsidRDefault="00870D02" w:rsidP="00870D02">
      <w:pPr>
        <w:widowControl w:val="0"/>
        <w:rPr>
          <w:rFonts w:cs="Arial"/>
        </w:rPr>
      </w:pPr>
    </w:p>
    <w:p w:rsidR="00870D02" w:rsidRDefault="00870D02" w:rsidP="00870D02">
      <w:pPr>
        <w:pStyle w:val="Capa"/>
        <w:rPr>
          <w:color w:val="FF9900"/>
        </w:rPr>
      </w:pPr>
      <w:r>
        <w:t>SINDRAPE</w:t>
      </w:r>
    </w:p>
    <w:p w:rsidR="00870D02" w:rsidRDefault="00870D02" w:rsidP="00870D02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870D02" w:rsidRPr="00870D02" w:rsidRDefault="00870D02" w:rsidP="00870D02">
      <w:pPr>
        <w:widowControl w:val="0"/>
        <w:rPr>
          <w:color w:val="000080"/>
        </w:rPr>
      </w:pPr>
    </w:p>
    <w:p w:rsidR="00870D02" w:rsidRPr="00870D02" w:rsidRDefault="00870D02" w:rsidP="00870D02">
      <w:pPr>
        <w:widowControl w:val="0"/>
        <w:jc w:val="right"/>
        <w:rPr>
          <w:rFonts w:cs="Arial"/>
          <w:b/>
          <w:bCs/>
          <w:color w:val="000080"/>
        </w:rPr>
      </w:pPr>
    </w:p>
    <w:p w:rsidR="00870D02" w:rsidRDefault="00870D02" w:rsidP="00870D02">
      <w:pPr>
        <w:pStyle w:val="Capa"/>
      </w:pPr>
      <w:r>
        <w:t>UCS0283 - Consultar Proventos de Aposentadoria sem Paridade</w:t>
      </w:r>
    </w:p>
    <w:p w:rsidR="00870D02" w:rsidRDefault="00870D02" w:rsidP="00870D02">
      <w:pPr>
        <w:widowControl w:val="0"/>
        <w:rPr>
          <w:rFonts w:cs="Arial"/>
        </w:rPr>
      </w:pPr>
    </w:p>
    <w:p w:rsidR="00870D02" w:rsidRDefault="00870D02" w:rsidP="00870D02">
      <w:pPr>
        <w:widowControl w:val="0"/>
      </w:pPr>
    </w:p>
    <w:p w:rsidR="00870D02" w:rsidRDefault="00870D02" w:rsidP="00870D02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t xml:space="preserve"> </w:t>
      </w:r>
      <w:r>
        <w:rPr>
          <w:rFonts w:cs="Arial"/>
        </w:rPr>
        <w:br w:type="page"/>
      </w:r>
    </w:p>
    <w:p w:rsidR="00870D02" w:rsidRPr="00870D02" w:rsidRDefault="00870D02" w:rsidP="00870D02">
      <w:pPr>
        <w:pStyle w:val="Corpodetexto3"/>
        <w:widowControl w:val="0"/>
        <w:spacing w:after="0"/>
        <w:rPr>
          <w:rFonts w:cs="Arial"/>
        </w:rPr>
      </w:pPr>
      <w:r w:rsidRPr="00870D02">
        <w:rPr>
          <w:rFonts w:cs="Arial"/>
        </w:rPr>
        <w:lastRenderedPageBreak/>
        <w:t>Histórico de Revisões</w:t>
      </w:r>
    </w:p>
    <w:p w:rsidR="00870D02" w:rsidRDefault="00870D02" w:rsidP="00870D02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870D02" w:rsidTr="00870D02">
        <w:tc>
          <w:tcPr>
            <w:tcW w:w="1501" w:type="dxa"/>
          </w:tcPr>
          <w:p w:rsidR="00870D02" w:rsidRDefault="00870D02" w:rsidP="00870D0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</w:tcPr>
          <w:p w:rsidR="00870D02" w:rsidRDefault="00870D02" w:rsidP="00870D0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</w:tcPr>
          <w:p w:rsidR="00870D02" w:rsidRDefault="00870D02" w:rsidP="00870D0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</w:tcPr>
          <w:p w:rsidR="00870D02" w:rsidRDefault="00870D02" w:rsidP="00870D0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870D02" w:rsidTr="00870D02">
        <w:tc>
          <w:tcPr>
            <w:tcW w:w="1501" w:type="dxa"/>
          </w:tcPr>
          <w:p w:rsidR="00870D02" w:rsidRDefault="00870D02" w:rsidP="00870D0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06/03/2009</w:t>
            </w:r>
          </w:p>
        </w:tc>
        <w:tc>
          <w:tcPr>
            <w:tcW w:w="1033" w:type="dxa"/>
          </w:tcPr>
          <w:p w:rsidR="00870D02" w:rsidRDefault="00870D02" w:rsidP="00870D0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</w:tcPr>
          <w:p w:rsidR="00870D02" w:rsidRDefault="00870D02" w:rsidP="00870D0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</w:tcPr>
          <w:p w:rsidR="00870D02" w:rsidRDefault="00870D02" w:rsidP="00870D0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Liliane Frez</w:t>
            </w:r>
          </w:p>
        </w:tc>
      </w:tr>
    </w:tbl>
    <w:p w:rsidR="00870D02" w:rsidRDefault="00870D02" w:rsidP="00870D02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870D02" w:rsidRPr="00870D02" w:rsidRDefault="00870D02" w:rsidP="00870D02">
      <w:pPr>
        <w:pStyle w:val="Corpodetexto3"/>
        <w:widowControl w:val="0"/>
        <w:spacing w:after="0"/>
        <w:jc w:val="left"/>
        <w:rPr>
          <w:rFonts w:cs="Arial"/>
        </w:rPr>
      </w:pPr>
      <w:r w:rsidRPr="00870D02">
        <w:rPr>
          <w:rFonts w:cs="Arial"/>
        </w:rPr>
        <w:lastRenderedPageBreak/>
        <w:t>Índice</w:t>
      </w:r>
    </w:p>
    <w:p w:rsidR="00870D02" w:rsidRPr="00870D02" w:rsidRDefault="00870D02" w:rsidP="00870D02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ED75E7" w:rsidRDefault="00870D02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6924" w:history="1">
        <w:r w:rsidR="00ED75E7" w:rsidRPr="0011461C">
          <w:rPr>
            <w:rStyle w:val="Hyperlink"/>
            <w:noProof/>
          </w:rPr>
          <w:t>1.</w:t>
        </w:r>
        <w:r w:rsidR="00ED75E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D75E7" w:rsidRPr="0011461C">
          <w:rPr>
            <w:rStyle w:val="Hyperlink"/>
            <w:noProof/>
          </w:rPr>
          <w:t>Pacote/Caso de Uso</w:t>
        </w:r>
        <w:r w:rsidR="00ED75E7">
          <w:rPr>
            <w:noProof/>
            <w:webHidden/>
          </w:rPr>
          <w:tab/>
        </w:r>
        <w:r w:rsidR="00ED75E7">
          <w:rPr>
            <w:noProof/>
            <w:webHidden/>
          </w:rPr>
          <w:fldChar w:fldCharType="begin"/>
        </w:r>
        <w:r w:rsidR="00ED75E7">
          <w:rPr>
            <w:noProof/>
            <w:webHidden/>
          </w:rPr>
          <w:instrText xml:space="preserve"> PAGEREF _Toc404616924 \h </w:instrText>
        </w:r>
        <w:r w:rsidR="00ED75E7">
          <w:rPr>
            <w:noProof/>
            <w:webHidden/>
          </w:rPr>
        </w:r>
        <w:r w:rsidR="00ED75E7">
          <w:rPr>
            <w:noProof/>
            <w:webHidden/>
          </w:rPr>
          <w:fldChar w:fldCharType="separate"/>
        </w:r>
        <w:r w:rsidR="00ED75E7">
          <w:rPr>
            <w:noProof/>
            <w:webHidden/>
          </w:rPr>
          <w:t>4</w:t>
        </w:r>
        <w:r w:rsidR="00ED75E7">
          <w:rPr>
            <w:noProof/>
            <w:webHidden/>
          </w:rPr>
          <w:fldChar w:fldCharType="end"/>
        </w:r>
      </w:hyperlink>
    </w:p>
    <w:p w:rsidR="00ED75E7" w:rsidRDefault="00ED75E7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925" w:history="1">
        <w:r w:rsidRPr="0011461C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61C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D75E7" w:rsidRDefault="00ED75E7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926" w:history="1">
        <w:r w:rsidRPr="0011461C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61C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D75E7" w:rsidRDefault="00ED75E7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927" w:history="1">
        <w:r w:rsidRPr="0011461C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61C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D75E7" w:rsidRDefault="00ED75E7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928" w:history="1">
        <w:r w:rsidRPr="0011461C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61C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D75E7" w:rsidRDefault="00ED75E7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929" w:history="1">
        <w:r w:rsidRPr="0011461C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61C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D75E7" w:rsidRDefault="00ED75E7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930" w:history="1">
        <w:r w:rsidRPr="0011461C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61C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D75E7" w:rsidRDefault="00ED75E7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931" w:history="1">
        <w:r w:rsidRPr="0011461C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61C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D75E7" w:rsidRDefault="00ED75E7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932" w:history="1">
        <w:r w:rsidRPr="0011461C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61C">
          <w:rPr>
            <w:rStyle w:val="Hyperlink"/>
            <w:noProof/>
          </w:rPr>
          <w:t>Consultar Proventos de Aposentadoria sem Paridade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D75E7" w:rsidRDefault="00ED75E7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933" w:history="1">
        <w:r w:rsidRPr="0011461C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61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D75E7" w:rsidRDefault="00ED75E7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934" w:history="1">
        <w:r w:rsidRPr="0011461C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61C">
          <w:rPr>
            <w:rStyle w:val="Hyperlink"/>
            <w:noProof/>
          </w:rPr>
          <w:t>Imprimir Proventos de Aposentadoria sem Paridade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D75E7" w:rsidRDefault="00ED75E7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935" w:history="1">
        <w:r w:rsidRPr="0011461C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61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D75E7" w:rsidRDefault="00ED75E7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936" w:history="1">
        <w:r w:rsidRPr="0011461C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61C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D75E7" w:rsidRDefault="00ED75E7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6937" w:history="1">
        <w:r w:rsidRPr="0011461C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11461C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_Toc404616937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70D02" w:rsidRDefault="00870D02" w:rsidP="00870D02">
      <w:pPr>
        <w:pStyle w:val="Sumrio1"/>
      </w:pPr>
      <w:r>
        <w:fldChar w:fldCharType="end"/>
      </w:r>
    </w:p>
    <w:p w:rsidR="00870D02" w:rsidRDefault="00870D02" w:rsidP="00870D02">
      <w:pPr>
        <w:widowControl w:val="0"/>
        <w:rPr>
          <w:rFonts w:cs="Arial"/>
          <w:b/>
          <w:bCs/>
          <w:color w:val="000000"/>
        </w:rPr>
      </w:pPr>
    </w:p>
    <w:p w:rsidR="00870D02" w:rsidRDefault="00870D02" w:rsidP="00870D02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870D02" w:rsidRDefault="00870D02" w:rsidP="00870D02">
      <w:pPr>
        <w:pStyle w:val="Heading"/>
      </w:pPr>
    </w:p>
    <w:p w:rsidR="00870D02" w:rsidRDefault="00870D02" w:rsidP="00870D02">
      <w:pPr>
        <w:pStyle w:val="Heading"/>
        <w:jc w:val="center"/>
      </w:pPr>
    </w:p>
    <w:p w:rsidR="00870D02" w:rsidRDefault="00870D02" w:rsidP="00870D02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870D02" w:rsidRDefault="00870D02" w:rsidP="00870D0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" w:name="_Toc404616924"/>
      <w:r>
        <w:lastRenderedPageBreak/>
        <w:t>Pacote/Caso de Uso</w:t>
      </w:r>
      <w:bookmarkEnd w:id="2"/>
    </w:p>
    <w:p w:rsidR="00870D02" w:rsidRDefault="00870D02" w:rsidP="00870D02"/>
    <w:p w:rsidR="00870D02" w:rsidRDefault="00870D02" w:rsidP="00870D02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Consultar Proventos de Aposentadoria sem Paridade</w:t>
      </w:r>
    </w:p>
    <w:p w:rsidR="00870D02" w:rsidRDefault="00870D02" w:rsidP="00870D02">
      <w:pPr>
        <w:widowControl w:val="0"/>
        <w:ind w:left="902"/>
        <w:rPr>
          <w:rFonts w:cs="Arial"/>
          <w:b/>
          <w:bCs/>
          <w:color w:val="FF0000"/>
        </w:rPr>
      </w:pPr>
    </w:p>
    <w:p w:rsidR="00870D02" w:rsidRDefault="00870D02" w:rsidP="00D13D55">
      <w:pPr>
        <w:pStyle w:val="Ttulo2"/>
      </w:pPr>
      <w:bookmarkStart w:id="3" w:name="_Toc77584278"/>
      <w:bookmarkStart w:id="4" w:name="_Toc404616925"/>
      <w:r>
        <w:t>Descrição</w:t>
      </w:r>
      <w:bookmarkEnd w:id="3"/>
      <w:bookmarkEnd w:id="4"/>
    </w:p>
    <w:p w:rsidR="00870D02" w:rsidRDefault="00870D02" w:rsidP="00870D02">
      <w:pPr>
        <w:pStyle w:val="Recuodecorpodetexto2"/>
        <w:widowControl w:val="0"/>
        <w:ind w:left="1620" w:firstLine="0"/>
        <w:rPr>
          <w:sz w:val="24"/>
        </w:rPr>
      </w:pPr>
    </w:p>
    <w:p w:rsidR="00870D02" w:rsidRDefault="00870D02" w:rsidP="00870D02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Caso de uso responsável por consultar proventos de aposentadoria sem paridade.</w:t>
      </w:r>
    </w:p>
    <w:p w:rsidR="00870D02" w:rsidRDefault="00870D02" w:rsidP="00870D02">
      <w:pPr>
        <w:pStyle w:val="Recuodecorpodetexto2"/>
        <w:widowControl w:val="0"/>
        <w:ind w:left="1620" w:firstLine="0"/>
        <w:rPr>
          <w:sz w:val="24"/>
        </w:rPr>
      </w:pPr>
    </w:p>
    <w:p w:rsidR="00870D02" w:rsidRDefault="00870D02" w:rsidP="00D13D55">
      <w:pPr>
        <w:pStyle w:val="Ttulo2"/>
      </w:pPr>
      <w:bookmarkStart w:id="5" w:name="_Toc404616926"/>
      <w:r>
        <w:t>Requisitos atendidos</w:t>
      </w:r>
      <w:bookmarkEnd w:id="5"/>
    </w:p>
    <w:p w:rsidR="00870D02" w:rsidRDefault="00870D02" w:rsidP="00870D02"/>
    <w:p w:rsidR="00870D02" w:rsidRDefault="00870D02" w:rsidP="00870D02">
      <w:pPr>
        <w:pStyle w:val="Recuodecorpodetexto"/>
        <w:ind w:left="1260"/>
      </w:pPr>
      <w:r>
        <w:t xml:space="preserve">R11 – 2.3.12 </w:t>
      </w:r>
      <w:bookmarkStart w:id="6" w:name="_Toc219717843"/>
      <w:r>
        <w:t>Regra do cálculo da aposentadoria sem paridade</w:t>
      </w:r>
      <w:bookmarkEnd w:id="6"/>
    </w:p>
    <w:p w:rsidR="00870D02" w:rsidRDefault="00870D02" w:rsidP="00870D02"/>
    <w:p w:rsidR="00870D02" w:rsidRDefault="00870D02" w:rsidP="00870D0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7" w:name="_Toc404616927"/>
      <w:r>
        <w:t>Conceito</w:t>
      </w:r>
      <w:bookmarkEnd w:id="7"/>
      <w:r>
        <w:tab/>
      </w:r>
    </w:p>
    <w:p w:rsidR="00870D02" w:rsidRDefault="00870D02" w:rsidP="00870D02"/>
    <w:p w:rsidR="00870D02" w:rsidRDefault="00870D02" w:rsidP="00D13D55">
      <w:pPr>
        <w:pStyle w:val="Ttulo2"/>
      </w:pPr>
      <w:bookmarkStart w:id="8" w:name="_Toc404616928"/>
      <w:r>
        <w:t>Conceitos principais</w:t>
      </w:r>
      <w:bookmarkEnd w:id="8"/>
    </w:p>
    <w:tbl>
      <w:tblPr>
        <w:tblW w:w="8934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2"/>
        <w:gridCol w:w="6672"/>
      </w:tblGrid>
      <w:tr w:rsidR="00D13D55" w:rsidRPr="00D13D55" w:rsidTr="00ED75E7">
        <w:trPr>
          <w:trHeight w:val="636"/>
        </w:trPr>
        <w:tc>
          <w:tcPr>
            <w:tcW w:w="2262" w:type="dxa"/>
            <w:shd w:val="clear" w:color="auto" w:fill="auto"/>
            <w:noWrap/>
            <w:vAlign w:val="bottom"/>
            <w:hideMark/>
          </w:tcPr>
          <w:p w:rsidR="00D13D55" w:rsidRPr="00D13D55" w:rsidRDefault="00D13D55" w:rsidP="00D13D55">
            <w:pPr>
              <w:spacing w:line="240" w:lineRule="auto"/>
              <w:ind w:left="0"/>
              <w:jc w:val="left"/>
              <w:rPr>
                <w:rFonts w:cs="Arial"/>
                <w:b/>
                <w:color w:val="000000"/>
              </w:rPr>
            </w:pPr>
            <w:r w:rsidRPr="00D13D55">
              <w:rPr>
                <w:rFonts w:cs="Arial"/>
                <w:b/>
                <w:color w:val="000000"/>
              </w:rPr>
              <w:t>Vínculos</w:t>
            </w:r>
          </w:p>
        </w:tc>
        <w:tc>
          <w:tcPr>
            <w:tcW w:w="6672" w:type="dxa"/>
            <w:shd w:val="clear" w:color="auto" w:fill="auto"/>
            <w:noWrap/>
            <w:vAlign w:val="bottom"/>
            <w:hideMark/>
          </w:tcPr>
          <w:p w:rsidR="00D13D55" w:rsidRPr="00D13D55" w:rsidRDefault="00D13D55" w:rsidP="00D13D55">
            <w:pPr>
              <w:spacing w:line="240" w:lineRule="auto"/>
              <w:ind w:left="0"/>
              <w:jc w:val="left"/>
              <w:rPr>
                <w:rFonts w:cs="Arial"/>
                <w:color w:val="000000"/>
                <w:sz w:val="22"/>
                <w:szCs w:val="22"/>
              </w:rPr>
            </w:pPr>
            <w:r w:rsidRPr="00D13D55">
              <w:rPr>
                <w:rFonts w:cs="Arial"/>
                <w:color w:val="000000"/>
                <w:sz w:val="22"/>
                <w:szCs w:val="22"/>
              </w:rPr>
              <w:t>Define os diversos vínculos empregatícios da pessoa com o Estado.</w:t>
            </w:r>
          </w:p>
        </w:tc>
      </w:tr>
    </w:tbl>
    <w:p w:rsidR="00870D02" w:rsidRDefault="00870D02" w:rsidP="00870D02"/>
    <w:p w:rsidR="00870D02" w:rsidRDefault="00870D02" w:rsidP="00D13D55">
      <w:pPr>
        <w:pStyle w:val="Ttulo2"/>
      </w:pPr>
      <w:bookmarkStart w:id="9" w:name="_Toc102356184"/>
      <w:bookmarkStart w:id="10" w:name="_Toc404616929"/>
      <w:r>
        <w:t>Conceitos associados</w:t>
      </w:r>
      <w:bookmarkEnd w:id="9"/>
      <w:bookmarkEnd w:id="10"/>
    </w:p>
    <w:p w:rsidR="00870D02" w:rsidRDefault="00D13D55" w:rsidP="00870D02">
      <w:pPr>
        <w:rPr>
          <w:rFonts w:eastAsia="Arial Unicode MS"/>
        </w:rPr>
      </w:pPr>
      <w:r>
        <w:rPr>
          <w:rFonts w:eastAsia="Arial Unicode MS"/>
        </w:rPr>
        <w:t>Não se aplica.</w:t>
      </w:r>
    </w:p>
    <w:p w:rsidR="00870D02" w:rsidRDefault="00870D02" w:rsidP="00870D0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1" w:name="_Toc77584279"/>
      <w:r>
        <w:br w:type="page"/>
      </w:r>
      <w:bookmarkStart w:id="12" w:name="_Toc404616930"/>
      <w:r>
        <w:lastRenderedPageBreak/>
        <w:t>Diagrama</w:t>
      </w:r>
      <w:bookmarkEnd w:id="12"/>
    </w:p>
    <w:p w:rsidR="00870D02" w:rsidRDefault="00870D02" w:rsidP="00870D02">
      <w:pPr>
        <w:pStyle w:val="Cabealho"/>
        <w:widowControl w:val="0"/>
        <w:rPr>
          <w:rFonts w:cs="Arial"/>
        </w:rPr>
      </w:pPr>
    </w:p>
    <w:p w:rsidR="00870D02" w:rsidRDefault="00ED75E7" w:rsidP="00870D02">
      <w:pPr>
        <w:widowControl w:val="0"/>
        <w:jc w:val="center"/>
        <w:rPr>
          <w:rFonts w:cs="Arial"/>
        </w:rPr>
      </w:pPr>
      <w:r w:rsidRPr="00ED75E7">
        <w:drawing>
          <wp:inline distT="0" distB="0" distL="0" distR="0" wp14:anchorId="752B0245" wp14:editId="0E02FCAB">
            <wp:extent cx="4638675" cy="1828800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1"/>
    <w:p w:rsidR="00870D02" w:rsidRDefault="00870D02" w:rsidP="00870D0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 w:rsidRPr="00ED75E7">
        <w:br w:type="page"/>
      </w:r>
      <w:bookmarkStart w:id="13" w:name="_Toc404616931"/>
      <w:r>
        <w:lastRenderedPageBreak/>
        <w:t>Casos de Uso</w:t>
      </w:r>
      <w:bookmarkEnd w:id="13"/>
    </w:p>
    <w:p w:rsidR="00870D02" w:rsidRDefault="00870D02" w:rsidP="00D13D55">
      <w:pPr>
        <w:pStyle w:val="Ttulo2"/>
      </w:pPr>
      <w:bookmarkStart w:id="14" w:name="_Toc404616932"/>
      <w:r>
        <w:t>Consultar Proventos de Aposentadoria sem Paridade</w:t>
      </w:r>
      <w:bookmarkEnd w:id="14"/>
    </w:p>
    <w:p w:rsidR="00870D02" w:rsidRDefault="00870D02" w:rsidP="00870D0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616933"/>
      <w:r>
        <w:t>Fluxo Básico</w:t>
      </w:r>
      <w:bookmarkEnd w:id="15"/>
    </w:p>
    <w:p w:rsidR="00870D02" w:rsidRDefault="00870D02" w:rsidP="00870D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Consultar Proventos de Aposentadoria sem Paridade;</w:t>
      </w:r>
    </w:p>
    <w:p w:rsidR="00870D02" w:rsidRDefault="00870D02" w:rsidP="00870D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 filtro Matrícula;</w:t>
      </w:r>
    </w:p>
    <w:p w:rsidR="00870D02" w:rsidRDefault="00870D02" w:rsidP="00870D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 filtro;</w:t>
      </w:r>
    </w:p>
    <w:p w:rsidR="00870D02" w:rsidRDefault="00870D02" w:rsidP="00870D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 regra </w:t>
      </w:r>
      <w:r>
        <w:rPr>
          <w:b/>
          <w:bCs w:val="0"/>
        </w:rPr>
        <w:t>RGN2.1.68.1</w:t>
      </w:r>
      <w:r>
        <w:t>;</w:t>
      </w:r>
    </w:p>
    <w:p w:rsidR="00870D02" w:rsidRDefault="00870D02" w:rsidP="00870D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Listar;</w:t>
      </w:r>
    </w:p>
    <w:p w:rsidR="00870D02" w:rsidRDefault="00870D02" w:rsidP="00870D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 regra </w:t>
      </w:r>
      <w:r>
        <w:rPr>
          <w:b/>
          <w:bCs w:val="0"/>
        </w:rPr>
        <w:t>RGN2.1.68.2</w:t>
      </w:r>
      <w:r>
        <w:t>;</w:t>
      </w:r>
    </w:p>
    <w:p w:rsidR="00870D02" w:rsidRDefault="00870D02" w:rsidP="00870D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utiliza o controle de </w:t>
      </w:r>
      <w:r>
        <w:rPr>
          <w:b/>
          <w:bCs w:val="0"/>
        </w:rPr>
        <w:t>abrangência</w:t>
      </w:r>
      <w:r>
        <w:t xml:space="preserve"> para recuperar os registros para listagem;</w:t>
      </w:r>
    </w:p>
    <w:p w:rsidR="00870D02" w:rsidRDefault="00870D02" w:rsidP="00870D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com os proventos de aposentadoria sem paridade de acordo com o filtro informado em ordem decrescente da data inicial de validade.</w:t>
      </w:r>
    </w:p>
    <w:p w:rsidR="00870D02" w:rsidRDefault="00870D02" w:rsidP="00870D02">
      <w:pPr>
        <w:pStyle w:val="Ttulo4"/>
        <w:numPr>
          <w:ilvl w:val="0"/>
          <w:numId w:val="0"/>
        </w:numPr>
        <w:ind w:left="1080"/>
      </w:pPr>
    </w:p>
    <w:p w:rsidR="00870D02" w:rsidRDefault="00870D02" w:rsidP="00D13D55">
      <w:pPr>
        <w:pStyle w:val="Ttulo2"/>
      </w:pPr>
      <w:bookmarkStart w:id="16" w:name="_Toc91234987"/>
      <w:bookmarkStart w:id="17" w:name="_Toc91236521"/>
      <w:bookmarkStart w:id="18" w:name="_Toc77584298"/>
      <w:bookmarkStart w:id="19" w:name="_Toc404616934"/>
      <w:r>
        <w:t>Imprimir Proventos de Aposentadoria sem Paridade</w:t>
      </w:r>
      <w:bookmarkEnd w:id="19"/>
    </w:p>
    <w:p w:rsidR="00870D02" w:rsidRDefault="00870D02" w:rsidP="00870D0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404616935"/>
      <w:r>
        <w:t>Fluxo Básico</w:t>
      </w:r>
      <w:bookmarkEnd w:id="20"/>
    </w:p>
    <w:p w:rsidR="00870D02" w:rsidRDefault="00870D02" w:rsidP="00870D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Imprimir;</w:t>
      </w:r>
    </w:p>
    <w:p w:rsidR="00870D02" w:rsidRDefault="00870D02" w:rsidP="00870D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utiliza o controle de </w:t>
      </w:r>
      <w:r>
        <w:rPr>
          <w:b/>
          <w:bCs w:val="0"/>
        </w:rPr>
        <w:t>abrangência</w:t>
      </w:r>
      <w:r>
        <w:t xml:space="preserve"> para recuperar os registros para impressão;</w:t>
      </w:r>
    </w:p>
    <w:p w:rsidR="00870D02" w:rsidRDefault="00870D02" w:rsidP="00870D0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 relatório com os dados recuperados.</w:t>
      </w:r>
    </w:p>
    <w:p w:rsidR="00D13D55" w:rsidRDefault="00D13D55" w:rsidP="00D13D55"/>
    <w:p w:rsidR="00870D02" w:rsidRDefault="00870D02" w:rsidP="00870D0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1" w:name="_Toc404616936"/>
      <w:r>
        <w:t>Regras de Negócio</w:t>
      </w:r>
      <w:bookmarkEnd w:id="21"/>
    </w:p>
    <w:p w:rsidR="00870D02" w:rsidRDefault="00870D02" w:rsidP="00870D02"/>
    <w:p w:rsidR="00870D02" w:rsidRDefault="00870D02" w:rsidP="00870D02">
      <w:pPr>
        <w:widowControl w:val="0"/>
        <w:ind w:left="1080"/>
        <w:rPr>
          <w:rFonts w:cs="Arial"/>
        </w:rPr>
      </w:pPr>
      <w:r>
        <w:rPr>
          <w:rFonts w:cs="Arial"/>
        </w:rPr>
        <w:t>Todas as regras estão definidas no documento Regras de Negócio.RN do módulo Pagamento.</w:t>
      </w:r>
    </w:p>
    <w:p w:rsidR="00870D02" w:rsidRDefault="00870D02" w:rsidP="00870D02">
      <w:pPr>
        <w:ind w:left="540"/>
      </w:pPr>
    </w:p>
    <w:p w:rsidR="00870D02" w:rsidRDefault="00870D02" w:rsidP="00870D0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2" w:name="_Toc404616937"/>
      <w:r>
        <w:t>Anexos</w:t>
      </w:r>
      <w:bookmarkEnd w:id="16"/>
      <w:bookmarkEnd w:id="17"/>
      <w:bookmarkEnd w:id="22"/>
    </w:p>
    <w:p w:rsidR="00870D02" w:rsidRDefault="00870D02" w:rsidP="00870D02"/>
    <w:bookmarkEnd w:id="18"/>
    <w:p w:rsidR="00870D02" w:rsidRDefault="00870D02" w:rsidP="00870D02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sectPr w:rsidR="00870D02" w:rsidSect="00D13D55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274" w:bottom="1417" w:left="1701" w:header="426" w:footer="31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0D02" w:rsidRDefault="00870D02" w:rsidP="002908D9">
      <w:r>
        <w:separator/>
      </w:r>
    </w:p>
  </w:endnote>
  <w:endnote w:type="continuationSeparator" w:id="0">
    <w:p w:rsidR="00870D02" w:rsidRDefault="00870D02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D75E7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870D0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Liliane Frez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D13D5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D13D55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D13D55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870D02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870D02">
            <w:rPr>
              <w:b/>
              <w:sz w:val="20"/>
              <w:szCs w:val="20"/>
            </w:rPr>
            <w:t xml:space="preserve"> Folha de 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13D55" w:rsidRPr="00D13D55">
            <w:rPr>
              <w:b/>
              <w:sz w:val="20"/>
              <w:szCs w:val="20"/>
            </w:rPr>
            <w:t>UCS0283 - Consultar Proventos de Aposentadoria sem Paridade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45509D13" wp14:editId="40A6CA47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0D02" w:rsidRDefault="00870D02" w:rsidP="002908D9">
      <w:r>
        <w:separator/>
      </w:r>
    </w:p>
  </w:footnote>
  <w:footnote w:type="continuationSeparator" w:id="0">
    <w:p w:rsidR="00870D02" w:rsidRDefault="00870D02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D13D55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3A29CBAA" wp14:editId="70770E66">
          <wp:simplePos x="0" y="0"/>
          <wp:positionH relativeFrom="column">
            <wp:posOffset>4152900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2705080" wp14:editId="49CCF246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67754F9" wp14:editId="3B03C3BA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1A78864C" wp14:editId="1CC4CF47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E4CE6F1A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D02"/>
    <w:rsid w:val="0000536A"/>
    <w:rsid w:val="00010C94"/>
    <w:rsid w:val="00011A7E"/>
    <w:rsid w:val="00080AA2"/>
    <w:rsid w:val="000A2BFB"/>
    <w:rsid w:val="000B4005"/>
    <w:rsid w:val="000F0299"/>
    <w:rsid w:val="00111169"/>
    <w:rsid w:val="00136560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70D02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13D55"/>
    <w:rsid w:val="00DB0139"/>
    <w:rsid w:val="00DF1DDA"/>
    <w:rsid w:val="00E81253"/>
    <w:rsid w:val="00ED75E7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70D0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70D0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13D55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70D0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70D0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70D0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70D0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70D0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70D02"/>
    <w:pPr>
      <w:ind w:left="0"/>
    </w:pPr>
  </w:style>
  <w:style w:type="paragraph" w:styleId="ndicedeilustraes">
    <w:name w:val="table of figures"/>
    <w:basedOn w:val="Normal"/>
    <w:next w:val="Normal"/>
    <w:semiHidden/>
    <w:rsid w:val="00870D02"/>
  </w:style>
  <w:style w:type="paragraph" w:styleId="Sumrio2">
    <w:name w:val="toc 2"/>
    <w:basedOn w:val="Normal"/>
    <w:next w:val="Normal"/>
    <w:autoRedefine/>
    <w:uiPriority w:val="39"/>
    <w:rsid w:val="00870D0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70D02"/>
    <w:pPr>
      <w:ind w:left="480"/>
    </w:pPr>
  </w:style>
  <w:style w:type="character" w:styleId="Hyperlink">
    <w:name w:val="Hyperlink"/>
    <w:basedOn w:val="Fontepargpadro"/>
    <w:uiPriority w:val="99"/>
    <w:rsid w:val="00870D0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70D0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70D0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70D0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70D0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70D0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70D02"/>
    <w:rPr>
      <w:sz w:val="16"/>
    </w:rPr>
  </w:style>
  <w:style w:type="character" w:styleId="Nmerodepgina">
    <w:name w:val="page number"/>
    <w:basedOn w:val="Fontepargpadro"/>
    <w:rsid w:val="00870D0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70D0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70D0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70D0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70D02"/>
  </w:style>
  <w:style w:type="paragraph" w:styleId="Corpodetexto">
    <w:name w:val="Body Text"/>
    <w:basedOn w:val="Normal"/>
    <w:link w:val="CorpodetextoChar"/>
    <w:rsid w:val="00870D0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70D02"/>
    <w:rPr>
      <w:rFonts w:eastAsia="Arial Unicode MS"/>
    </w:rPr>
  </w:style>
  <w:style w:type="paragraph" w:customStyle="1" w:styleId="tabletext">
    <w:name w:val="tabletext"/>
    <w:basedOn w:val="Normal"/>
    <w:rsid w:val="00870D0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70D0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70D0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70D0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70D0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870D0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70D0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70D0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70D0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70D02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70D0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70D0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13D55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70D0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70D0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70D0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70D0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70D0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70D02"/>
    <w:pPr>
      <w:ind w:left="0"/>
    </w:pPr>
  </w:style>
  <w:style w:type="paragraph" w:styleId="ndicedeilustraes">
    <w:name w:val="table of figures"/>
    <w:basedOn w:val="Normal"/>
    <w:next w:val="Normal"/>
    <w:semiHidden/>
    <w:rsid w:val="00870D02"/>
  </w:style>
  <w:style w:type="paragraph" w:styleId="Sumrio2">
    <w:name w:val="toc 2"/>
    <w:basedOn w:val="Normal"/>
    <w:next w:val="Normal"/>
    <w:autoRedefine/>
    <w:uiPriority w:val="39"/>
    <w:rsid w:val="00870D0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70D02"/>
    <w:pPr>
      <w:ind w:left="480"/>
    </w:pPr>
  </w:style>
  <w:style w:type="character" w:styleId="Hyperlink">
    <w:name w:val="Hyperlink"/>
    <w:basedOn w:val="Fontepargpadro"/>
    <w:uiPriority w:val="99"/>
    <w:rsid w:val="00870D0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70D0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70D0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70D0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70D0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70D0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70D02"/>
    <w:rPr>
      <w:sz w:val="16"/>
    </w:rPr>
  </w:style>
  <w:style w:type="character" w:styleId="Nmerodepgina">
    <w:name w:val="page number"/>
    <w:basedOn w:val="Fontepargpadro"/>
    <w:rsid w:val="00870D0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70D0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70D0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70D0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70D02"/>
  </w:style>
  <w:style w:type="paragraph" w:styleId="Corpodetexto">
    <w:name w:val="Body Text"/>
    <w:basedOn w:val="Normal"/>
    <w:link w:val="CorpodetextoChar"/>
    <w:rsid w:val="00870D0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70D02"/>
    <w:rPr>
      <w:rFonts w:eastAsia="Arial Unicode MS"/>
    </w:rPr>
  </w:style>
  <w:style w:type="paragraph" w:customStyle="1" w:styleId="tabletext">
    <w:name w:val="tabletext"/>
    <w:basedOn w:val="Normal"/>
    <w:rsid w:val="00870D0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70D0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70D0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70D0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70D0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870D0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70D0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70D0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70D0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70D02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01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C14091-9FC2-4FE2-AA6D-D5D4348CD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11</TotalTime>
  <Pages>6</Pages>
  <Words>317</Words>
  <Characters>2572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2884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2014-11-09T03:56:00Z</cp:lastPrinted>
  <dcterms:created xsi:type="dcterms:W3CDTF">2014-11-09T03:56:00Z</dcterms:created>
  <dcterms:modified xsi:type="dcterms:W3CDTF">2014-11-24T20:26:00Z</dcterms:modified>
</cp:coreProperties>
</file>