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3117" w:rsidRDefault="00093117" w:rsidP="00093117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93117" w:rsidRDefault="00093117" w:rsidP="00093117">
      <w:pPr>
        <w:widowControl w:val="0"/>
        <w:rPr>
          <w:rFonts w:cs="Arial"/>
          <w:sz w:val="20"/>
        </w:rPr>
      </w:pPr>
    </w:p>
    <w:p w:rsidR="00093117" w:rsidRDefault="00093117" w:rsidP="00093117">
      <w:pPr>
        <w:widowControl w:val="0"/>
        <w:rPr>
          <w:rFonts w:cs="Arial"/>
          <w:sz w:val="20"/>
        </w:rPr>
      </w:pPr>
    </w:p>
    <w:p w:rsidR="00093117" w:rsidRDefault="00093117" w:rsidP="00093117">
      <w:pPr>
        <w:widowControl w:val="0"/>
        <w:rPr>
          <w:rFonts w:cs="Arial"/>
          <w:sz w:val="20"/>
        </w:rPr>
      </w:pPr>
    </w:p>
    <w:p w:rsidR="00093117" w:rsidRDefault="00093117" w:rsidP="00093117">
      <w:pPr>
        <w:widowControl w:val="0"/>
        <w:rPr>
          <w:rFonts w:cs="Arial"/>
          <w:sz w:val="20"/>
        </w:rPr>
      </w:pPr>
    </w:p>
    <w:p w:rsidR="00093117" w:rsidRDefault="00093117" w:rsidP="00093117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93117" w:rsidRDefault="00093117" w:rsidP="00093117">
      <w:pPr>
        <w:widowControl w:val="0"/>
        <w:rPr>
          <w:rFonts w:cs="Arial"/>
          <w:sz w:val="20"/>
          <w:u w:val="single"/>
        </w:rPr>
      </w:pPr>
    </w:p>
    <w:p w:rsidR="00093117" w:rsidRDefault="00093117" w:rsidP="00093117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93117" w:rsidRDefault="00093117" w:rsidP="00093117">
      <w:pPr>
        <w:widowControl w:val="0"/>
        <w:rPr>
          <w:rFonts w:cs="Arial"/>
          <w:sz w:val="20"/>
        </w:rPr>
      </w:pPr>
    </w:p>
    <w:p w:rsidR="00093117" w:rsidRDefault="00093117" w:rsidP="00093117">
      <w:pPr>
        <w:widowControl w:val="0"/>
        <w:rPr>
          <w:rFonts w:cs="Arial"/>
          <w:sz w:val="20"/>
        </w:rPr>
      </w:pPr>
    </w:p>
    <w:p w:rsidR="00093117" w:rsidRDefault="00093117" w:rsidP="00093117">
      <w:pPr>
        <w:widowControl w:val="0"/>
        <w:rPr>
          <w:rFonts w:cs="Arial"/>
          <w:sz w:val="20"/>
        </w:rPr>
      </w:pPr>
    </w:p>
    <w:p w:rsidR="00093117" w:rsidRDefault="00093117" w:rsidP="00093117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093117" w:rsidRDefault="00093117" w:rsidP="00093117">
      <w:pPr>
        <w:widowControl w:val="0"/>
        <w:rPr>
          <w:rFonts w:cs="Arial"/>
          <w:sz w:val="20"/>
        </w:rPr>
      </w:pPr>
    </w:p>
    <w:p w:rsidR="00093117" w:rsidRDefault="00093117" w:rsidP="00093117">
      <w:pPr>
        <w:widowControl w:val="0"/>
        <w:rPr>
          <w:rFonts w:cs="Arial"/>
          <w:sz w:val="20"/>
        </w:rPr>
      </w:pPr>
    </w:p>
    <w:p w:rsidR="00093117" w:rsidRDefault="00093117" w:rsidP="00093117">
      <w:pPr>
        <w:widowControl w:val="0"/>
        <w:rPr>
          <w:rFonts w:cs="Arial"/>
        </w:rPr>
      </w:pPr>
    </w:p>
    <w:p w:rsidR="00093117" w:rsidRDefault="00093117" w:rsidP="00093117">
      <w:pPr>
        <w:pStyle w:val="Capa"/>
        <w:rPr>
          <w:color w:val="FF9900"/>
        </w:rPr>
      </w:pPr>
      <w:r>
        <w:t>SINDRAPE</w:t>
      </w:r>
    </w:p>
    <w:p w:rsidR="00093117" w:rsidRDefault="00093117" w:rsidP="00093117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093117" w:rsidRPr="00093117" w:rsidRDefault="00093117" w:rsidP="00093117">
      <w:pPr>
        <w:widowControl w:val="0"/>
        <w:rPr>
          <w:color w:val="000080"/>
        </w:rPr>
      </w:pPr>
    </w:p>
    <w:p w:rsidR="00093117" w:rsidRPr="00093117" w:rsidRDefault="00093117" w:rsidP="00093117">
      <w:pPr>
        <w:widowControl w:val="0"/>
        <w:jc w:val="right"/>
        <w:rPr>
          <w:rFonts w:cs="Arial"/>
          <w:b/>
          <w:bCs/>
          <w:color w:val="000080"/>
        </w:rPr>
      </w:pPr>
    </w:p>
    <w:p w:rsidR="00093117" w:rsidRDefault="00093117" w:rsidP="00093117">
      <w:pPr>
        <w:pStyle w:val="Capa"/>
      </w:pPr>
      <w:r>
        <w:t>UCS0286 - Reajustar Incorporações de Inativos</w:t>
      </w:r>
    </w:p>
    <w:p w:rsidR="00093117" w:rsidRDefault="00093117" w:rsidP="00093117">
      <w:pPr>
        <w:widowControl w:val="0"/>
        <w:rPr>
          <w:rFonts w:cs="Arial"/>
        </w:rPr>
      </w:pPr>
    </w:p>
    <w:p w:rsidR="00093117" w:rsidRDefault="00093117" w:rsidP="00093117">
      <w:pPr>
        <w:widowControl w:val="0"/>
      </w:pPr>
    </w:p>
    <w:p w:rsidR="00093117" w:rsidRDefault="00093117" w:rsidP="00093117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093117" w:rsidRPr="00093117" w:rsidRDefault="00093117" w:rsidP="00093117">
      <w:pPr>
        <w:pStyle w:val="Corpodetexto3"/>
        <w:widowControl w:val="0"/>
        <w:spacing w:after="0"/>
        <w:rPr>
          <w:rFonts w:cs="Arial"/>
        </w:rPr>
      </w:pPr>
      <w:r w:rsidRPr="00093117">
        <w:rPr>
          <w:rFonts w:cs="Arial"/>
        </w:rPr>
        <w:lastRenderedPageBreak/>
        <w:t>Histórico de Revisões</w:t>
      </w:r>
    </w:p>
    <w:p w:rsidR="00093117" w:rsidRDefault="00093117" w:rsidP="00093117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093117" w:rsidTr="00093117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117" w:rsidRDefault="00093117" w:rsidP="00093117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117" w:rsidRDefault="00093117" w:rsidP="00093117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117" w:rsidRDefault="00093117" w:rsidP="00093117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117" w:rsidRDefault="00093117" w:rsidP="00093117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093117" w:rsidTr="00093117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117" w:rsidRDefault="00093117" w:rsidP="0009311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09/4/2009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117" w:rsidRDefault="00093117" w:rsidP="0009311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117" w:rsidRDefault="00093117" w:rsidP="0009311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3117" w:rsidRDefault="00093117" w:rsidP="0009311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Liliane Frez</w:t>
            </w:r>
          </w:p>
        </w:tc>
      </w:tr>
    </w:tbl>
    <w:p w:rsidR="00093117" w:rsidRDefault="00093117" w:rsidP="00093117">
      <w:pPr>
        <w:pStyle w:val="Corpodetexto3"/>
        <w:widowControl w:val="0"/>
        <w:spacing w:after="0"/>
        <w:rPr>
          <w:rFonts w:cs="Arial"/>
        </w:rPr>
      </w:pPr>
      <w:r>
        <w:br w:type="page"/>
      </w:r>
    </w:p>
    <w:p w:rsidR="00093117" w:rsidRPr="00093117" w:rsidRDefault="00093117" w:rsidP="00093117">
      <w:pPr>
        <w:pStyle w:val="Corpodetexto3"/>
        <w:widowControl w:val="0"/>
        <w:spacing w:after="0"/>
        <w:rPr>
          <w:rFonts w:cs="Arial"/>
        </w:rPr>
      </w:pPr>
      <w:r w:rsidRPr="00093117">
        <w:rPr>
          <w:rFonts w:cs="Arial"/>
        </w:rPr>
        <w:lastRenderedPageBreak/>
        <w:t>Índice</w:t>
      </w:r>
    </w:p>
    <w:p w:rsidR="00093117" w:rsidRPr="00093117" w:rsidRDefault="00093117" w:rsidP="00093117">
      <w:pPr>
        <w:pStyle w:val="Corpodetexto3"/>
        <w:widowControl w:val="0"/>
        <w:spacing w:after="0"/>
        <w:rPr>
          <w:rFonts w:cs="Arial"/>
        </w:rPr>
      </w:pPr>
    </w:p>
    <w:bookmarkStart w:id="0" w:name="_GoBack"/>
    <w:bookmarkEnd w:id="0"/>
    <w:p w:rsidR="002E5BD4" w:rsidRDefault="0009311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614203" w:history="1">
        <w:r w:rsidR="002E5BD4" w:rsidRPr="009868E5">
          <w:rPr>
            <w:rStyle w:val="Hyperlink"/>
            <w:noProof/>
          </w:rPr>
          <w:t>1.</w:t>
        </w:r>
        <w:r w:rsidR="002E5BD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E5BD4" w:rsidRPr="009868E5">
          <w:rPr>
            <w:rStyle w:val="Hyperlink"/>
            <w:noProof/>
          </w:rPr>
          <w:t>Pacote/Caso de Uso</w:t>
        </w:r>
        <w:r w:rsidR="002E5BD4">
          <w:rPr>
            <w:noProof/>
            <w:webHidden/>
          </w:rPr>
          <w:tab/>
        </w:r>
        <w:r w:rsidR="002E5BD4">
          <w:rPr>
            <w:noProof/>
            <w:webHidden/>
          </w:rPr>
          <w:fldChar w:fldCharType="begin"/>
        </w:r>
        <w:r w:rsidR="002E5BD4">
          <w:rPr>
            <w:noProof/>
            <w:webHidden/>
          </w:rPr>
          <w:instrText xml:space="preserve"> PAGEREF _Toc404614203 \h </w:instrText>
        </w:r>
        <w:r w:rsidR="002E5BD4">
          <w:rPr>
            <w:noProof/>
            <w:webHidden/>
          </w:rPr>
        </w:r>
        <w:r w:rsidR="002E5BD4">
          <w:rPr>
            <w:noProof/>
            <w:webHidden/>
          </w:rPr>
          <w:fldChar w:fldCharType="separate"/>
        </w:r>
        <w:r w:rsidR="002E5BD4">
          <w:rPr>
            <w:noProof/>
            <w:webHidden/>
          </w:rPr>
          <w:t>4</w:t>
        </w:r>
        <w:r w:rsidR="002E5BD4">
          <w:rPr>
            <w:noProof/>
            <w:webHidden/>
          </w:rPr>
          <w:fldChar w:fldCharType="end"/>
        </w:r>
      </w:hyperlink>
    </w:p>
    <w:p w:rsidR="002E5BD4" w:rsidRDefault="002E5BD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4204" w:history="1">
        <w:r w:rsidRPr="009868E5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868E5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_Toc404614204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E5BD4" w:rsidRDefault="002E5BD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4205" w:history="1">
        <w:r w:rsidRPr="009868E5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868E5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_Toc404614205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E5BD4" w:rsidRDefault="002E5BD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4206" w:history="1">
        <w:r w:rsidRPr="009868E5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868E5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_Toc404614206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E5BD4" w:rsidRDefault="002E5BD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4207" w:history="1">
        <w:r w:rsidRPr="009868E5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868E5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_Toc404614207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E5BD4" w:rsidRDefault="002E5BD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4208" w:history="1">
        <w:r w:rsidRPr="009868E5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868E5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_Toc404614208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E5BD4" w:rsidRDefault="002E5BD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4209" w:history="1">
        <w:r w:rsidRPr="009868E5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868E5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_Toc404614209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E5BD4" w:rsidRDefault="002E5BD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4210" w:history="1">
        <w:r w:rsidRPr="009868E5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868E5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_Toc404614210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E5BD4" w:rsidRDefault="002E5BD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4211" w:history="1">
        <w:r w:rsidRPr="009868E5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868E5">
          <w:rPr>
            <w:rStyle w:val="Hyperlink"/>
            <w:noProof/>
          </w:rPr>
          <w:t>Incluir Reajuste de Incorporações de Inativos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_Toc404614211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E5BD4" w:rsidRDefault="002E5BD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4212" w:history="1">
        <w:r w:rsidRPr="009868E5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868E5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_Toc404614212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E5BD4" w:rsidRDefault="002E5BD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4213" w:history="1">
        <w:r w:rsidRPr="009868E5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868E5">
          <w:rPr>
            <w:rStyle w:val="Hyperlink"/>
            <w:noProof/>
          </w:rPr>
          <w:t>Fluxo alternativo – Não existe folha do tipo aposentadoria calculada em definitivo no mês/ano – substitui a partir do passo 4.1.1.12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_Toc404614213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E5BD4" w:rsidRDefault="002E5BD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4214" w:history="1">
        <w:r w:rsidRPr="009868E5">
          <w:rPr>
            <w:rStyle w:val="Hyperlink"/>
            <w:noProof/>
            <w:highlight w:val="yellow"/>
          </w:rPr>
          <w:t>4.1.3.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868E5">
          <w:rPr>
            <w:rStyle w:val="Hyperlink"/>
            <w:noProof/>
            <w:highlight w:val="yellow"/>
          </w:rPr>
          <w:t>Fluxo alternativo – Todas as rubricas – Substitui a partir do passo 4.1.1.8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_Toc404614214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E5BD4" w:rsidRDefault="002E5BD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4215" w:history="1">
        <w:r w:rsidRPr="009868E5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868E5">
          <w:rPr>
            <w:rStyle w:val="Hyperlink"/>
            <w:noProof/>
          </w:rPr>
          <w:t>Excluir Reajuste de Incorporações de Inativos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_Toc404614215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E5BD4" w:rsidRDefault="002E5BD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4216" w:history="1">
        <w:r w:rsidRPr="009868E5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868E5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_Toc404614216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E5BD4" w:rsidRDefault="002E5BD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4217" w:history="1">
        <w:r w:rsidRPr="009868E5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868E5">
          <w:rPr>
            <w:rStyle w:val="Hyperlink"/>
            <w:noProof/>
          </w:rPr>
          <w:t>Fluxo alternativo – Não existe folha do tipo aposentadoria calculada em definitivo no mês/ano – substitui a partir do passo 4.1.1.3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_Toc404614217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E5BD4" w:rsidRDefault="002E5BD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4218" w:history="1">
        <w:r w:rsidRPr="009868E5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868E5">
          <w:rPr>
            <w:rStyle w:val="Hyperlink"/>
            <w:noProof/>
          </w:rPr>
          <w:t>Listar Reajuste de Incorporações de Inativos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_Toc404614218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E5BD4" w:rsidRDefault="002E5BD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4219" w:history="1">
        <w:r w:rsidRPr="009868E5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868E5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_Toc404614219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E5BD4" w:rsidRDefault="002E5BD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4220" w:history="1">
        <w:r w:rsidRPr="009868E5">
          <w:rPr>
            <w:rStyle w:val="Hyperlink"/>
            <w:noProof/>
          </w:rPr>
          <w:t>4.3.2.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868E5">
          <w:rPr>
            <w:rStyle w:val="Hyperlink"/>
            <w:noProof/>
          </w:rPr>
          <w:t>Fluxo Alternativo – Detalhar reajuste de incorporações de inativos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_Toc404614220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E5BD4" w:rsidRDefault="002E5BD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4221" w:history="1">
        <w:r w:rsidRPr="009868E5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868E5">
          <w:rPr>
            <w:rStyle w:val="Hyperlink"/>
            <w:noProof/>
          </w:rPr>
          <w:t>Regras gerais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_Toc404614221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2E5BD4" w:rsidRDefault="002E5BD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4222" w:history="1">
        <w:r w:rsidRPr="009868E5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9868E5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_Toc404614222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093117" w:rsidRDefault="00093117" w:rsidP="00093117">
      <w:pPr>
        <w:pStyle w:val="Sumrio1"/>
      </w:pPr>
      <w:r>
        <w:fldChar w:fldCharType="end"/>
      </w:r>
    </w:p>
    <w:p w:rsidR="00093117" w:rsidRDefault="00093117" w:rsidP="00093117">
      <w:pPr>
        <w:widowControl w:val="0"/>
        <w:rPr>
          <w:rFonts w:cs="Arial"/>
          <w:b/>
          <w:bCs/>
          <w:color w:val="000000"/>
        </w:rPr>
      </w:pPr>
    </w:p>
    <w:p w:rsidR="00093117" w:rsidRDefault="00093117" w:rsidP="00093117">
      <w:pPr>
        <w:pStyle w:val="Heading"/>
        <w:rPr>
          <w:rFonts w:cs="Arial"/>
          <w:szCs w:val="24"/>
          <w:lang w:val="pt-BR"/>
        </w:rPr>
      </w:pPr>
    </w:p>
    <w:p w:rsidR="00093117" w:rsidRDefault="00093117" w:rsidP="00093117">
      <w:pPr>
        <w:pStyle w:val="Heading"/>
      </w:pPr>
    </w:p>
    <w:p w:rsidR="00093117" w:rsidRDefault="00093117" w:rsidP="00093117">
      <w:pPr>
        <w:pStyle w:val="Heading"/>
        <w:jc w:val="center"/>
      </w:pPr>
    </w:p>
    <w:p w:rsidR="00093117" w:rsidRDefault="00093117" w:rsidP="00093117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093117" w:rsidRDefault="00093117" w:rsidP="00093117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614203"/>
      <w:r>
        <w:lastRenderedPageBreak/>
        <w:t>Pacote/Caso de Uso</w:t>
      </w:r>
      <w:bookmarkEnd w:id="1"/>
    </w:p>
    <w:p w:rsidR="00093117" w:rsidRDefault="00093117" w:rsidP="00093117"/>
    <w:p w:rsidR="00093117" w:rsidRDefault="00093117" w:rsidP="00093117">
      <w:pPr>
        <w:widowControl w:val="0"/>
        <w:ind w:left="360"/>
        <w:rPr>
          <w:rFonts w:cs="Arial"/>
          <w:b/>
          <w:bCs/>
          <w:color w:val="000080"/>
          <w:sz w:val="28"/>
        </w:rPr>
      </w:pPr>
      <w:r>
        <w:rPr>
          <w:rFonts w:cs="Arial"/>
          <w:b/>
          <w:bCs/>
          <w:color w:val="000080"/>
          <w:sz w:val="28"/>
        </w:rPr>
        <w:t>Reajustar Incorporações de Inativos</w:t>
      </w:r>
    </w:p>
    <w:p w:rsidR="00093117" w:rsidRDefault="00093117" w:rsidP="00093117">
      <w:pPr>
        <w:widowControl w:val="0"/>
        <w:ind w:left="902"/>
        <w:rPr>
          <w:rFonts w:cs="Arial"/>
          <w:b/>
          <w:bCs/>
          <w:color w:val="FF0000"/>
        </w:rPr>
      </w:pPr>
    </w:p>
    <w:p w:rsidR="00093117" w:rsidRDefault="00093117" w:rsidP="002E5BD4">
      <w:pPr>
        <w:pStyle w:val="Ttulo2"/>
      </w:pPr>
      <w:bookmarkStart w:id="2" w:name="_Toc404614204"/>
      <w:r>
        <w:t>Descrição</w:t>
      </w:r>
      <w:bookmarkEnd w:id="2"/>
    </w:p>
    <w:p w:rsidR="00093117" w:rsidRDefault="00093117" w:rsidP="00093117">
      <w:pPr>
        <w:pStyle w:val="Recuodecorpodetexto2"/>
        <w:widowControl w:val="0"/>
        <w:ind w:left="1620" w:firstLine="0"/>
        <w:rPr>
          <w:sz w:val="24"/>
        </w:rPr>
      </w:pPr>
    </w:p>
    <w:p w:rsidR="00093117" w:rsidRDefault="00093117" w:rsidP="00093117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reajuste de incorporações de inativos.</w:t>
      </w:r>
    </w:p>
    <w:p w:rsidR="00093117" w:rsidRDefault="00093117" w:rsidP="00093117">
      <w:pPr>
        <w:pStyle w:val="Recuodecorpodetexto2"/>
        <w:widowControl w:val="0"/>
        <w:ind w:left="1620" w:firstLine="0"/>
        <w:rPr>
          <w:sz w:val="24"/>
        </w:rPr>
      </w:pPr>
    </w:p>
    <w:p w:rsidR="00093117" w:rsidRDefault="00093117" w:rsidP="002E5BD4">
      <w:pPr>
        <w:pStyle w:val="Ttulo2"/>
      </w:pPr>
      <w:bookmarkStart w:id="3" w:name="_Toc404614205"/>
      <w:r>
        <w:t>Requisitos atendidos</w:t>
      </w:r>
      <w:bookmarkEnd w:id="3"/>
    </w:p>
    <w:p w:rsidR="00093117" w:rsidRDefault="00093117" w:rsidP="00093117"/>
    <w:p w:rsidR="00093117" w:rsidRDefault="00093117" w:rsidP="00093117">
      <w:pPr>
        <w:pStyle w:val="Recuodecorpodetexto"/>
        <w:ind w:left="1260"/>
      </w:pPr>
      <w:r>
        <w:t>R11 – Regra do cálculo da aposentadoria com paridade</w:t>
      </w:r>
    </w:p>
    <w:p w:rsidR="00093117" w:rsidRDefault="00093117" w:rsidP="00093117">
      <w:pPr>
        <w:pStyle w:val="Recuodecorpodetexto"/>
        <w:ind w:left="1260"/>
      </w:pPr>
    </w:p>
    <w:p w:rsidR="00093117" w:rsidRDefault="00093117" w:rsidP="00093117"/>
    <w:p w:rsidR="00093117" w:rsidRDefault="00093117" w:rsidP="00093117">
      <w:pPr>
        <w:pStyle w:val="Ttulo1"/>
        <w:keepNext w:val="0"/>
        <w:widowControl w:val="0"/>
        <w:spacing w:before="0" w:line="240" w:lineRule="auto"/>
        <w:ind w:left="540" w:hanging="540"/>
      </w:pPr>
      <w:bookmarkStart w:id="4" w:name="_Toc404614206"/>
      <w:r>
        <w:t>Conceito</w:t>
      </w:r>
      <w:bookmarkEnd w:id="4"/>
      <w:r>
        <w:tab/>
      </w:r>
    </w:p>
    <w:p w:rsidR="00093117" w:rsidRDefault="00093117" w:rsidP="00093117"/>
    <w:p w:rsidR="00093117" w:rsidRDefault="00093117" w:rsidP="002E5BD4">
      <w:pPr>
        <w:pStyle w:val="Ttulo2"/>
      </w:pPr>
      <w:bookmarkStart w:id="5" w:name="_Toc404614207"/>
      <w:r>
        <w:t>Conceitos principais</w:t>
      </w:r>
      <w:bookmarkEnd w:id="5"/>
    </w:p>
    <w:p w:rsidR="00093117" w:rsidRDefault="00093117" w:rsidP="00093117">
      <w:pPr>
        <w:rPr>
          <w:rFonts w:cs="Arial"/>
        </w:rPr>
      </w:pPr>
    </w:p>
    <w:p w:rsidR="00093117" w:rsidRDefault="00093117" w:rsidP="002E5BD4">
      <w:pPr>
        <w:pStyle w:val="Ttulo2"/>
      </w:pPr>
      <w:bookmarkStart w:id="6" w:name="_Toc404614208"/>
      <w:r>
        <w:t>Conceitos associados</w:t>
      </w:r>
      <w:bookmarkEnd w:id="6"/>
    </w:p>
    <w:p w:rsidR="00093117" w:rsidRDefault="00093117" w:rsidP="00093117">
      <w:pPr>
        <w:rPr>
          <w:rFonts w:eastAsia="Arial Unicode MS"/>
        </w:rPr>
      </w:pPr>
    </w:p>
    <w:p w:rsidR="00093117" w:rsidRDefault="00093117" w:rsidP="00093117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404614209"/>
      <w:r>
        <w:lastRenderedPageBreak/>
        <w:t>Diagrama</w:t>
      </w:r>
      <w:bookmarkEnd w:id="7"/>
    </w:p>
    <w:p w:rsidR="00093117" w:rsidRDefault="00093117" w:rsidP="00093117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093117" w:rsidRDefault="00093117" w:rsidP="00093117">
      <w:pPr>
        <w:widowControl w:val="0"/>
        <w:jc w:val="center"/>
        <w:rPr>
          <w:rFonts w:cs="Arial"/>
        </w:rPr>
      </w:pPr>
    </w:p>
    <w:p w:rsidR="00093117" w:rsidRDefault="002E5BD4" w:rsidP="00093117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w:drawing>
          <wp:inline distT="0" distB="0" distL="0" distR="0" wp14:anchorId="3BE78698" wp14:editId="3C2341A5">
            <wp:extent cx="3876675" cy="3467100"/>
            <wp:effectExtent l="0" t="0" r="952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3117" w:rsidRDefault="00093117" w:rsidP="00093117">
      <w:pPr>
        <w:widowControl w:val="0"/>
        <w:jc w:val="center"/>
        <w:rPr>
          <w:rFonts w:cs="Arial"/>
        </w:rPr>
      </w:pPr>
    </w:p>
    <w:p w:rsidR="00093117" w:rsidRDefault="00093117" w:rsidP="00093117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614210"/>
      <w:r>
        <w:lastRenderedPageBreak/>
        <w:t>Casos de Uso</w:t>
      </w:r>
      <w:bookmarkEnd w:id="8"/>
    </w:p>
    <w:p w:rsidR="00093117" w:rsidRDefault="00093117" w:rsidP="002E5BD4">
      <w:pPr>
        <w:pStyle w:val="Ttulo2"/>
      </w:pPr>
      <w:bookmarkStart w:id="9" w:name="_Toc404614211"/>
      <w:r>
        <w:t>Incluir Reajuste de Incorporações de Inativos</w:t>
      </w:r>
      <w:bookmarkEnd w:id="9"/>
    </w:p>
    <w:p w:rsidR="00093117" w:rsidRDefault="00093117" w:rsidP="00093117">
      <w:pPr>
        <w:pStyle w:val="Ttulo3"/>
        <w:keepNext w:val="0"/>
        <w:widowControl w:val="0"/>
        <w:spacing w:before="120" w:line="240" w:lineRule="auto"/>
        <w:ind w:left="1620" w:hanging="900"/>
      </w:pPr>
      <w:bookmarkStart w:id="10" w:name="_Toc404614212"/>
      <w:r>
        <w:t>Fluxo Básico</w:t>
      </w:r>
      <w:bookmarkEnd w:id="10"/>
    </w:p>
    <w:p w:rsidR="00093117" w:rsidRDefault="00093117" w:rsidP="00093117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seleciona a funcionalidade de manutenção de reajustes de incorporações de inativos;</w:t>
      </w:r>
    </w:p>
    <w:p w:rsidR="00093117" w:rsidRDefault="00093117" w:rsidP="00093117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seleciona a funcionalidade para incluir reajuste de incorporações de inativos;</w:t>
      </w:r>
    </w:p>
    <w:p w:rsidR="00093117" w:rsidRDefault="00093117" w:rsidP="00093117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apresenta as informações para preenchimento;</w:t>
      </w:r>
    </w:p>
    <w:p w:rsidR="00093117" w:rsidRDefault="00093117" w:rsidP="00093117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preenche a Data início do reajuste;</w:t>
      </w:r>
    </w:p>
    <w:p w:rsidR="00093117" w:rsidRDefault="00093117" w:rsidP="00093117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preenche os percentuais de reajuste;</w:t>
      </w:r>
    </w:p>
    <w:p w:rsidR="00093117" w:rsidRDefault="00093117" w:rsidP="00093117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preenche os órgãos a serem aplicados o reajuste;</w:t>
      </w:r>
    </w:p>
    <w:p w:rsidR="00093117" w:rsidRDefault="00093117" w:rsidP="00093117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seleciona a opção Adicionar o órgão informado;</w:t>
      </w:r>
    </w:p>
    <w:p w:rsidR="00093117" w:rsidRDefault="00093117" w:rsidP="00093117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preenche as rubricas incorporadas as quais o reajuste deve ser aplicado.</w:t>
      </w:r>
    </w:p>
    <w:p w:rsidR="00093117" w:rsidRDefault="00093117" w:rsidP="00093117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seleciona a opção Adicionar a rubrica informada;</w:t>
      </w:r>
    </w:p>
    <w:p w:rsidR="00093117" w:rsidRDefault="00093117" w:rsidP="00093117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valida a regra </w:t>
      </w:r>
      <w:r>
        <w:rPr>
          <w:b/>
          <w:bCs w:val="0"/>
        </w:rPr>
        <w:t>RGN2.1.165.1</w:t>
      </w:r>
      <w:r>
        <w:t>;</w:t>
      </w:r>
    </w:p>
    <w:p w:rsidR="00093117" w:rsidRDefault="00093117" w:rsidP="00093117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submete a opção Incluir;</w:t>
      </w:r>
    </w:p>
    <w:p w:rsidR="00093117" w:rsidRDefault="00093117" w:rsidP="00093117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valida as regras definidas (</w:t>
      </w:r>
      <w:r>
        <w:rPr>
          <w:b/>
          <w:bCs w:val="0"/>
        </w:rPr>
        <w:t xml:space="preserve">RGN2.2.12.1, RGN2.2.13.1, </w:t>
      </w:r>
      <w:r>
        <w:rPr>
          <w:b/>
          <w:bCs w:val="0"/>
          <w:u w:val="single"/>
        </w:rPr>
        <w:t>RGN2.1.69.17</w:t>
      </w:r>
      <w:r>
        <w:rPr>
          <w:b/>
          <w:bCs w:val="0"/>
        </w:rPr>
        <w:t>, RGN2.1.163.1, RGN2.1.150.2</w:t>
      </w:r>
      <w:r>
        <w:t>);</w:t>
      </w:r>
    </w:p>
    <w:p w:rsidR="00093117" w:rsidRDefault="00093117" w:rsidP="00093117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realiza a inclusão do histórico de reajuste proventos de aposentadoria com paridade;</w:t>
      </w:r>
    </w:p>
    <w:p w:rsidR="00093117" w:rsidRDefault="00093117" w:rsidP="00093117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recupera as concessões de aposentadoria que sofrerão reajuste de proventos conforme regras (</w:t>
      </w:r>
      <w:r>
        <w:rPr>
          <w:b/>
          <w:bCs w:val="0"/>
        </w:rPr>
        <w:t>RGN2.1.164.1, RGN2.1.164.2, RGN2.1.164.3, RGN2.1.164.4</w:t>
      </w:r>
      <w:r>
        <w:t>);</w:t>
      </w:r>
    </w:p>
    <w:p w:rsidR="00093117" w:rsidRDefault="00093117" w:rsidP="00093117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inclui um novo histórico de valor de aposentadoria com paridade com a data início da validade igual à data início do reajuste, a partir do atual histórico em que o reajuste deve ser aplicado; </w:t>
      </w:r>
    </w:p>
    <w:p w:rsidR="00093117" w:rsidRDefault="00093117" w:rsidP="00093117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rPr>
          <w:highlight w:val="yellow"/>
        </w:rPr>
        <w:t xml:space="preserve">O sistema inclui novo histórico para </w:t>
      </w:r>
      <w:r>
        <w:rPr>
          <w:b/>
          <w:bCs w:val="0"/>
          <w:highlight w:val="yellow"/>
        </w:rPr>
        <w:t>todas</w:t>
      </w:r>
      <w:r>
        <w:rPr>
          <w:highlight w:val="yellow"/>
        </w:rPr>
        <w:t xml:space="preserve"> as rubricas associadas ao histórico em que o reajuste será aplicado, mesmo que não seja concedido reajuste para uma determinada rubrica;</w:t>
      </w:r>
    </w:p>
    <w:p w:rsidR="00093117" w:rsidRDefault="00093117" w:rsidP="00093117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Para cada novo histórico de rubrica incluído, o sistema aplica a porcentagem de reajuste identificada sobre o valor da rubrica, </w:t>
      </w:r>
      <w:r>
        <w:rPr>
          <w:highlight w:val="yellow"/>
        </w:rPr>
        <w:t>somente se este último existir.</w:t>
      </w:r>
      <w:r>
        <w:t xml:space="preserve"> </w:t>
      </w:r>
      <w:r>
        <w:rPr>
          <w:strike/>
          <w:highlight w:val="yellow"/>
        </w:rPr>
        <w:t>e inclui o índice com o próprio valor do percentual identificado</w:t>
      </w:r>
      <w:r>
        <w:t>;</w:t>
      </w:r>
    </w:p>
    <w:p w:rsidR="00093117" w:rsidRDefault="00093117" w:rsidP="00093117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processa a operação e exibe a mensagem </w:t>
      </w:r>
      <w:r>
        <w:rPr>
          <w:b/>
          <w:bCs w:val="0"/>
        </w:rPr>
        <w:t>MSG2201</w:t>
      </w:r>
      <w:r>
        <w:t xml:space="preserve"> ("Reajuste efetuado com sucesso!").</w:t>
      </w:r>
    </w:p>
    <w:p w:rsidR="00093117" w:rsidRDefault="00093117" w:rsidP="00093117">
      <w:pPr>
        <w:pStyle w:val="Ttulo4"/>
        <w:numPr>
          <w:ilvl w:val="0"/>
          <w:numId w:val="0"/>
        </w:numPr>
      </w:pPr>
    </w:p>
    <w:p w:rsidR="00093117" w:rsidRDefault="00093117" w:rsidP="00093117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614213"/>
      <w:r>
        <w:t>Fluxo alternativo – Não existe folha do tipo aposentadoria calculada em definitivo no mês/ano – substitui a partir do passo 4.1.1.12</w:t>
      </w:r>
      <w:bookmarkEnd w:id="11"/>
    </w:p>
    <w:p w:rsidR="00093117" w:rsidRDefault="00093117" w:rsidP="00093117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lastRenderedPageBreak/>
        <w:t>O sistema verifica que não existe folha do tipo Aposentadoria calculada em definitivo na referência informada;</w:t>
      </w:r>
    </w:p>
    <w:p w:rsidR="00093117" w:rsidRDefault="00093117" w:rsidP="00093117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valida as regras definidas (</w:t>
      </w:r>
      <w:r>
        <w:rPr>
          <w:b/>
          <w:bCs w:val="0"/>
        </w:rPr>
        <w:t xml:space="preserve">RGN2.2.12.1, RGN2.2.13.1, </w:t>
      </w:r>
      <w:r>
        <w:rPr>
          <w:b/>
          <w:bCs w:val="0"/>
          <w:u w:val="single"/>
        </w:rPr>
        <w:t>RGN2.1.69.15</w:t>
      </w:r>
      <w:r>
        <w:rPr>
          <w:b/>
          <w:bCs w:val="0"/>
        </w:rPr>
        <w:t>, RGN2.1.163.1, RGN2.1.150.2</w:t>
      </w:r>
      <w:r>
        <w:t>);</w:t>
      </w:r>
    </w:p>
    <w:p w:rsidR="00093117" w:rsidRDefault="00093117" w:rsidP="00093117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Retorna ao passo 4.1.1.13.</w:t>
      </w:r>
    </w:p>
    <w:p w:rsidR="00093117" w:rsidRDefault="00093117" w:rsidP="00093117">
      <w:pPr>
        <w:pStyle w:val="Ttulo3"/>
        <w:keepNext w:val="0"/>
        <w:widowControl w:val="0"/>
        <w:spacing w:before="120" w:line="240" w:lineRule="auto"/>
        <w:ind w:left="1620" w:hanging="900"/>
        <w:rPr>
          <w:highlight w:val="yellow"/>
        </w:rPr>
      </w:pPr>
      <w:bookmarkStart w:id="12" w:name="_Toc404614214"/>
      <w:r>
        <w:rPr>
          <w:highlight w:val="yellow"/>
        </w:rPr>
        <w:t>Fluxo alternativo – Todas as rubricas – Substitui a partir do passo 4.1.1.8</w:t>
      </w:r>
      <w:bookmarkEnd w:id="12"/>
    </w:p>
    <w:p w:rsidR="00093117" w:rsidRDefault="00093117" w:rsidP="00093117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ator seleciona a opção “Aplicável a todas as rubricas incorporadas”;</w:t>
      </w:r>
    </w:p>
    <w:p w:rsidR="00093117" w:rsidRDefault="00093117" w:rsidP="00093117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ator informa as demais informações;</w:t>
      </w:r>
    </w:p>
    <w:p w:rsidR="00093117" w:rsidRDefault="00093117" w:rsidP="00093117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ator submete a opção Incluir;</w:t>
      </w:r>
    </w:p>
    <w:p w:rsidR="00093117" w:rsidRDefault="00093117" w:rsidP="00093117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 O sistema realiza a inclusão do histórico de reajuste proventos de aposentadoria com paridade;</w:t>
      </w:r>
    </w:p>
    <w:p w:rsidR="00093117" w:rsidRDefault="00093117" w:rsidP="00093117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recupera as concessões de aposentadoria que sofrerão reajuste de proventos conforme regras (</w:t>
      </w:r>
      <w:r>
        <w:rPr>
          <w:b/>
          <w:bCs w:val="0"/>
        </w:rPr>
        <w:t>RGN2.1.164.1, RGN2.1.164.2, RGN2.1.164.3, RGN2.1.164.4</w:t>
      </w:r>
      <w:r>
        <w:t>);</w:t>
      </w:r>
    </w:p>
    <w:p w:rsidR="00093117" w:rsidRDefault="00093117" w:rsidP="00093117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recupera as rubricas associadas aos históricos de valor de aposentadoria das concessões que sofrerão o reajuste;</w:t>
      </w:r>
    </w:p>
    <w:p w:rsidR="00093117" w:rsidRDefault="00093117" w:rsidP="00093117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valida a regra </w:t>
      </w:r>
      <w:r>
        <w:rPr>
          <w:b/>
          <w:bCs w:val="0"/>
        </w:rPr>
        <w:t>RGN2.1.165.1</w:t>
      </w:r>
      <w:r>
        <w:t xml:space="preserve"> para identificar quais  rubricas deverão ser reajustadas;     </w:t>
      </w:r>
    </w:p>
    <w:p w:rsidR="00093117" w:rsidRDefault="00093117" w:rsidP="00093117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inclui um novo histórico de valor de aposentadoria com paridade com a data início da validade igual à data início do reajuste, a partir do atual histórico em que o reajuste deve ser aplicado; </w:t>
      </w:r>
    </w:p>
    <w:p w:rsidR="00093117" w:rsidRDefault="00093117" w:rsidP="00093117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inclui um novo histórico para </w:t>
      </w:r>
      <w:r>
        <w:rPr>
          <w:b/>
          <w:bCs w:val="0"/>
        </w:rPr>
        <w:t>cada</w:t>
      </w:r>
      <w:r>
        <w:t xml:space="preserve"> rubrica associada ao valor de aposentadoria em que o reajuste será aplicado, mesmo que esta rubrica não tenha sido reajustada;</w:t>
      </w:r>
    </w:p>
    <w:p w:rsidR="00093117" w:rsidRDefault="00093117" w:rsidP="00093117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Para cada novo histórico de rubrica incluído, o sistema aplica a porcentagem de reajuste identificada sobre o valor da rubrica que deve ser reajustada; </w:t>
      </w:r>
    </w:p>
    <w:p w:rsidR="00093117" w:rsidRDefault="00093117" w:rsidP="00093117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não realiza o reajuste para aquelas rubricas que não possuem valor ou que não tenham sido validadas pela regra </w:t>
      </w:r>
      <w:r>
        <w:rPr>
          <w:b/>
          <w:bCs w:val="0"/>
        </w:rPr>
        <w:t>RGN2.1.165.1</w:t>
      </w:r>
      <w:r>
        <w:t>;</w:t>
      </w:r>
    </w:p>
    <w:p w:rsidR="00093117" w:rsidRDefault="00093117" w:rsidP="00093117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processa a operação e exibe a mensagem </w:t>
      </w:r>
      <w:r>
        <w:rPr>
          <w:b/>
          <w:bCs w:val="0"/>
        </w:rPr>
        <w:t>MSG2201</w:t>
      </w:r>
      <w:r>
        <w:t xml:space="preserve"> ("Reajuste efetuado com sucesso!").</w:t>
      </w:r>
    </w:p>
    <w:p w:rsidR="00093117" w:rsidRDefault="00093117" w:rsidP="002E5BD4">
      <w:pPr>
        <w:pStyle w:val="Ttulo2"/>
      </w:pPr>
      <w:bookmarkStart w:id="13" w:name="_Toc223835705"/>
      <w:bookmarkStart w:id="14" w:name="_Toc224965390"/>
      <w:bookmarkStart w:id="15" w:name="_Toc404614215"/>
      <w:r>
        <w:t xml:space="preserve">Excluir Reajuste de </w:t>
      </w:r>
      <w:bookmarkEnd w:id="13"/>
      <w:bookmarkEnd w:id="14"/>
      <w:r>
        <w:t>Incorporações de Inativos</w:t>
      </w:r>
      <w:bookmarkEnd w:id="15"/>
    </w:p>
    <w:p w:rsidR="00093117" w:rsidRDefault="00093117" w:rsidP="00093117">
      <w:pPr>
        <w:pStyle w:val="Ttulo3"/>
        <w:keepNext w:val="0"/>
        <w:widowControl w:val="0"/>
        <w:spacing w:before="120" w:line="240" w:lineRule="auto"/>
        <w:ind w:left="1620" w:hanging="900"/>
      </w:pPr>
      <w:bookmarkStart w:id="16" w:name="_Toc223835706"/>
      <w:bookmarkStart w:id="17" w:name="_Toc224965391"/>
      <w:bookmarkStart w:id="18" w:name="_Toc404614216"/>
      <w:r>
        <w:t>Fluxo Básico</w:t>
      </w:r>
      <w:bookmarkEnd w:id="16"/>
      <w:bookmarkEnd w:id="17"/>
      <w:bookmarkEnd w:id="18"/>
    </w:p>
    <w:p w:rsidR="00093117" w:rsidRDefault="00093117" w:rsidP="00093117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seleciona o reajuste após executar a funcionalidade “Listar Reajuste de Incorporações de Inativos”;</w:t>
      </w:r>
    </w:p>
    <w:p w:rsidR="00093117" w:rsidRDefault="00093117" w:rsidP="00093117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submete a opção excluir o reajuste selecionado;</w:t>
      </w:r>
    </w:p>
    <w:p w:rsidR="00093117" w:rsidRDefault="00093117" w:rsidP="00093117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valida a regra definida (</w:t>
      </w:r>
      <w:r>
        <w:rPr>
          <w:b/>
          <w:bCs w:val="0"/>
        </w:rPr>
        <w:t>RGN2.1.69.17</w:t>
      </w:r>
      <w:r>
        <w:t>)</w:t>
      </w:r>
      <w:r>
        <w:rPr>
          <w:b/>
          <w:bCs w:val="0"/>
        </w:rPr>
        <w:t>;</w:t>
      </w:r>
    </w:p>
    <w:p w:rsidR="00093117" w:rsidRDefault="00093117" w:rsidP="00093117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lastRenderedPageBreak/>
        <w:t>O sistema exclui todos os históricos de valores de aposentadoria com paridade associados ao reajuste selecionado;</w:t>
      </w:r>
    </w:p>
    <w:p w:rsidR="00093117" w:rsidRDefault="00093117" w:rsidP="00093117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realiza a exclusão do reajuste de incorporações de inativos;</w:t>
      </w:r>
    </w:p>
    <w:p w:rsidR="00093117" w:rsidRDefault="00093117" w:rsidP="00093117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exibe a mensagem </w:t>
      </w:r>
      <w:r>
        <w:rPr>
          <w:b/>
          <w:bCs w:val="0"/>
        </w:rPr>
        <w:t>MSG0052</w:t>
      </w:r>
      <w:r>
        <w:t xml:space="preserve"> ("Exclusão efetuada com sucesso!").</w:t>
      </w:r>
    </w:p>
    <w:p w:rsidR="00093117" w:rsidRDefault="00093117" w:rsidP="00093117">
      <w:pPr>
        <w:pStyle w:val="Ttulo3"/>
        <w:keepNext w:val="0"/>
        <w:widowControl w:val="0"/>
        <w:spacing w:before="120" w:line="240" w:lineRule="auto"/>
        <w:ind w:left="1620" w:hanging="900"/>
      </w:pPr>
      <w:bookmarkStart w:id="19" w:name="_Toc404614217"/>
      <w:r>
        <w:t>Fluxo alternativo – Não existe folha do tipo aposentadoria calculada em definitivo no mês/ano – substitui a partir do passo 4.1.1.3</w:t>
      </w:r>
      <w:bookmarkEnd w:id="19"/>
    </w:p>
    <w:p w:rsidR="00093117" w:rsidRDefault="00093117" w:rsidP="00093117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verifica que não existe folha do tipo Aposentadoria calculada em definitivo na referência informada;</w:t>
      </w:r>
    </w:p>
    <w:p w:rsidR="00093117" w:rsidRDefault="00093117" w:rsidP="00093117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valida a regra definida (</w:t>
      </w:r>
      <w:r>
        <w:rPr>
          <w:b/>
          <w:bCs w:val="0"/>
        </w:rPr>
        <w:t>RGN2.1.69.15</w:t>
      </w:r>
      <w:r>
        <w:t>);</w:t>
      </w:r>
    </w:p>
    <w:p w:rsidR="00093117" w:rsidRDefault="00093117" w:rsidP="00093117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Retorna ao passo 4.2.1.4.</w:t>
      </w:r>
    </w:p>
    <w:p w:rsidR="00093117" w:rsidRDefault="00093117" w:rsidP="00093117">
      <w:pPr>
        <w:pStyle w:val="Ttulo4"/>
        <w:numPr>
          <w:ilvl w:val="0"/>
          <w:numId w:val="0"/>
        </w:numPr>
        <w:ind w:left="1080"/>
      </w:pPr>
    </w:p>
    <w:p w:rsidR="00093117" w:rsidRDefault="00093117" w:rsidP="00093117"/>
    <w:p w:rsidR="00093117" w:rsidRDefault="00093117" w:rsidP="002E5BD4">
      <w:pPr>
        <w:pStyle w:val="Ttulo2"/>
      </w:pPr>
      <w:bookmarkStart w:id="20" w:name="_Toc223835707"/>
      <w:bookmarkStart w:id="21" w:name="_Toc224965392"/>
      <w:bookmarkStart w:id="22" w:name="_Toc404614218"/>
      <w:r>
        <w:t xml:space="preserve">Listar </w:t>
      </w:r>
      <w:bookmarkEnd w:id="20"/>
      <w:bookmarkEnd w:id="21"/>
      <w:r>
        <w:t>Reajuste de Incorporações de Inativos</w:t>
      </w:r>
      <w:bookmarkEnd w:id="22"/>
    </w:p>
    <w:p w:rsidR="00093117" w:rsidRDefault="00093117" w:rsidP="00093117">
      <w:pPr>
        <w:pStyle w:val="Ttulo3"/>
        <w:keepNext w:val="0"/>
        <w:widowControl w:val="0"/>
        <w:spacing w:before="120" w:line="240" w:lineRule="auto"/>
        <w:ind w:left="1620" w:hanging="900"/>
      </w:pPr>
      <w:bookmarkStart w:id="23" w:name="_Toc223835708"/>
      <w:bookmarkStart w:id="24" w:name="_Toc224965393"/>
      <w:bookmarkStart w:id="25" w:name="_Toc404614219"/>
      <w:r>
        <w:t>Fluxo Básico</w:t>
      </w:r>
      <w:bookmarkEnd w:id="23"/>
      <w:bookmarkEnd w:id="24"/>
      <w:bookmarkEnd w:id="25"/>
    </w:p>
    <w:p w:rsidR="00093117" w:rsidRDefault="00093117" w:rsidP="00093117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seleciona a funcionalidade de manutenção de reajustes de incorporações de inativos;</w:t>
      </w:r>
    </w:p>
    <w:p w:rsidR="00093117" w:rsidRDefault="00093117" w:rsidP="00093117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apresenta os filtros de pesquisa;</w:t>
      </w:r>
    </w:p>
    <w:p w:rsidR="00093117" w:rsidRDefault="00093117" w:rsidP="00093117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informa os filtros;</w:t>
      </w:r>
    </w:p>
    <w:p w:rsidR="00093117" w:rsidRDefault="00093117" w:rsidP="00093117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submete a opção Listar;</w:t>
      </w:r>
    </w:p>
    <w:p w:rsidR="00093117" w:rsidRDefault="00093117" w:rsidP="00093117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apresenta os reajustes cadastrados conforme filtros de pesquisa informados e em ordem decrescente pela Data de Início do reajuste. </w:t>
      </w:r>
    </w:p>
    <w:p w:rsidR="00093117" w:rsidRDefault="00093117" w:rsidP="00093117">
      <w:pPr>
        <w:pStyle w:val="Ttulo3"/>
        <w:keepNext w:val="0"/>
        <w:widowControl w:val="0"/>
        <w:spacing w:before="120" w:line="240" w:lineRule="auto"/>
        <w:ind w:left="1620" w:hanging="900"/>
      </w:pPr>
      <w:bookmarkStart w:id="26" w:name="_Toc223835709"/>
      <w:bookmarkStart w:id="27" w:name="_Toc224965394"/>
      <w:bookmarkStart w:id="28" w:name="_Toc404614220"/>
      <w:r>
        <w:t xml:space="preserve">Fluxo Alternativo – Detalhar reajuste de </w:t>
      </w:r>
      <w:bookmarkEnd w:id="26"/>
      <w:bookmarkEnd w:id="27"/>
      <w:r>
        <w:t>incorporações de inativos</w:t>
      </w:r>
      <w:bookmarkEnd w:id="28"/>
    </w:p>
    <w:p w:rsidR="00093117" w:rsidRDefault="00093117" w:rsidP="00093117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invoca o detalhamento do reajuste de incorporações de inativos;</w:t>
      </w:r>
    </w:p>
    <w:p w:rsidR="00093117" w:rsidRDefault="00093117" w:rsidP="00093117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 xml:space="preserve">O sistema detalha o reajuste selecionado; </w:t>
      </w:r>
    </w:p>
    <w:p w:rsidR="00093117" w:rsidRDefault="00093117" w:rsidP="00093117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29" w:name="_Toc404614221"/>
      <w:r>
        <w:lastRenderedPageBreak/>
        <w:t>Regras gerais</w:t>
      </w:r>
      <w:bookmarkEnd w:id="29"/>
    </w:p>
    <w:p w:rsidR="00093117" w:rsidRDefault="00093117" w:rsidP="00093117"/>
    <w:p w:rsidR="00093117" w:rsidRDefault="00093117" w:rsidP="00093117">
      <w:pPr>
        <w:widowControl w:val="0"/>
        <w:ind w:left="709"/>
        <w:rPr>
          <w:rFonts w:cs="Arial"/>
        </w:rPr>
      </w:pPr>
      <w:r>
        <w:rPr>
          <w:rFonts w:cs="Arial"/>
        </w:rPr>
        <w:t>Todas as regras estão definidas no documento Regras de Negócio.RN do módulo de pagamento.</w:t>
      </w:r>
    </w:p>
    <w:p w:rsidR="00093117" w:rsidRDefault="00093117" w:rsidP="00093117"/>
    <w:p w:rsidR="00093117" w:rsidRDefault="00093117" w:rsidP="00093117">
      <w:pPr>
        <w:pStyle w:val="Ttulo1"/>
        <w:keepNext w:val="0"/>
        <w:widowControl w:val="0"/>
        <w:spacing w:before="0" w:line="240" w:lineRule="auto"/>
        <w:ind w:left="540" w:hanging="540"/>
      </w:pPr>
      <w:bookmarkStart w:id="30" w:name="_Toc404614222"/>
      <w:r>
        <w:t>Anexos</w:t>
      </w:r>
      <w:bookmarkEnd w:id="30"/>
    </w:p>
    <w:p w:rsidR="00093117" w:rsidRDefault="00093117" w:rsidP="00093117"/>
    <w:p w:rsidR="00093117" w:rsidRDefault="00093117" w:rsidP="00093117">
      <w:pPr>
        <w:widowControl w:val="0"/>
        <w:ind w:left="709"/>
        <w:rPr>
          <w:rFonts w:cs="Arial"/>
        </w:rPr>
      </w:pPr>
      <w:r>
        <w:rPr>
          <w:rFonts w:cs="Arial"/>
        </w:rPr>
        <w:t>Não se aplica.</w:t>
      </w:r>
    </w:p>
    <w:p w:rsidR="00093117" w:rsidRDefault="00093117" w:rsidP="00093117"/>
    <w:p w:rsidR="00F41655" w:rsidRPr="00093117" w:rsidRDefault="00F41655" w:rsidP="00093117"/>
    <w:sectPr w:rsidR="00F41655" w:rsidRPr="00093117" w:rsidSect="002E5BD4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31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93117" w:rsidRDefault="00093117" w:rsidP="002908D9">
      <w:r>
        <w:separator/>
      </w:r>
    </w:p>
  </w:endnote>
  <w:endnote w:type="continuationSeparator" w:id="0">
    <w:p w:rsidR="00093117" w:rsidRDefault="00093117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2E5BD4">
      <w:rPr>
        <w:rStyle w:val="Nmerodepgina"/>
        <w:noProof/>
        <w:szCs w:val="20"/>
      </w:rPr>
      <w:t>2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093117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Liliane Frez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093117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Rogério Rocha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B53128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093117">
            <w:rPr>
              <w:b/>
              <w:sz w:val="20"/>
              <w:szCs w:val="20"/>
            </w:rPr>
            <w:t>Pagamento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093117">
            <w:rPr>
              <w:b/>
              <w:sz w:val="20"/>
              <w:szCs w:val="20"/>
            </w:rPr>
            <w:t xml:space="preserve"> Folha de Pagamento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2E5BD4" w:rsidRPr="002E5BD4">
            <w:rPr>
              <w:b/>
              <w:sz w:val="20"/>
              <w:szCs w:val="20"/>
            </w:rPr>
            <w:t>UCS0286 - Reajustar Incorporações de Inativos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 wp14:anchorId="28137FE7" wp14:editId="0F1E913F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93117" w:rsidRDefault="00093117" w:rsidP="002908D9">
      <w:r>
        <w:separator/>
      </w:r>
    </w:p>
  </w:footnote>
  <w:footnote w:type="continuationSeparator" w:id="0">
    <w:p w:rsidR="00093117" w:rsidRDefault="00093117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C0A078C" wp14:editId="37D0665F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0F40A93" wp14:editId="3D468EDB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 wp14:anchorId="56E33F26" wp14:editId="66FA7B9B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 wp14:anchorId="3264CB3E" wp14:editId="5FD5CC82">
          <wp:simplePos x="0" y="0"/>
          <wp:positionH relativeFrom="column">
            <wp:posOffset>4676775</wp:posOffset>
          </wp:positionH>
          <wp:positionV relativeFrom="paragraph">
            <wp:posOffset>-140335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E028F6E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3117"/>
    <w:rsid w:val="0000536A"/>
    <w:rsid w:val="00010C94"/>
    <w:rsid w:val="00011A7E"/>
    <w:rsid w:val="00080AA2"/>
    <w:rsid w:val="00093117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2E5BD4"/>
    <w:rsid w:val="003274E5"/>
    <w:rsid w:val="003328F5"/>
    <w:rsid w:val="00374B36"/>
    <w:rsid w:val="0037750D"/>
    <w:rsid w:val="00381644"/>
    <w:rsid w:val="00463AB4"/>
    <w:rsid w:val="004C223C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93117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093117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2E5BD4"/>
    <w:pPr>
      <w:numPr>
        <w:ilvl w:val="1"/>
        <w:numId w:val="17"/>
      </w:numPr>
      <w:tabs>
        <w:tab w:val="clear" w:pos="792"/>
        <w:tab w:val="num" w:pos="993"/>
      </w:tabs>
      <w:spacing w:before="240" w:after="240"/>
      <w:ind w:left="993" w:hanging="633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093117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093117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093117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093117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093117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093117"/>
    <w:pPr>
      <w:ind w:left="0"/>
    </w:pPr>
  </w:style>
  <w:style w:type="paragraph" w:styleId="ndicedeilustraes">
    <w:name w:val="table of figures"/>
    <w:basedOn w:val="Normal"/>
    <w:next w:val="Normal"/>
    <w:semiHidden/>
    <w:rsid w:val="00093117"/>
  </w:style>
  <w:style w:type="paragraph" w:styleId="Sumrio2">
    <w:name w:val="toc 2"/>
    <w:basedOn w:val="Normal"/>
    <w:next w:val="Normal"/>
    <w:autoRedefine/>
    <w:uiPriority w:val="39"/>
    <w:rsid w:val="00093117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093117"/>
    <w:pPr>
      <w:ind w:left="480"/>
    </w:pPr>
  </w:style>
  <w:style w:type="character" w:styleId="Hyperlink">
    <w:name w:val="Hyperlink"/>
    <w:basedOn w:val="Fontepargpadro"/>
    <w:uiPriority w:val="99"/>
    <w:rsid w:val="00093117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093117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093117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093117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093117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093117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093117"/>
    <w:rPr>
      <w:sz w:val="16"/>
    </w:rPr>
  </w:style>
  <w:style w:type="character" w:styleId="Nmerodepgina">
    <w:name w:val="page number"/>
    <w:basedOn w:val="Fontepargpadro"/>
    <w:rsid w:val="00093117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093117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09311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093117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093117"/>
  </w:style>
  <w:style w:type="paragraph" w:styleId="Corpodetexto">
    <w:name w:val="Body Text"/>
    <w:basedOn w:val="Normal"/>
    <w:link w:val="CorpodetextoChar"/>
    <w:rsid w:val="00093117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093117"/>
    <w:rPr>
      <w:rFonts w:eastAsia="Arial Unicode MS"/>
    </w:rPr>
  </w:style>
  <w:style w:type="paragraph" w:customStyle="1" w:styleId="tabletext">
    <w:name w:val="tabletext"/>
    <w:basedOn w:val="Normal"/>
    <w:rsid w:val="00093117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093117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093117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093117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093117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093117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093117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093117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093117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093117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93117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093117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2E5BD4"/>
    <w:pPr>
      <w:numPr>
        <w:ilvl w:val="1"/>
        <w:numId w:val="17"/>
      </w:numPr>
      <w:tabs>
        <w:tab w:val="clear" w:pos="792"/>
        <w:tab w:val="num" w:pos="993"/>
      </w:tabs>
      <w:spacing w:before="240" w:after="240"/>
      <w:ind w:left="993" w:hanging="633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093117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093117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093117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093117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093117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093117"/>
    <w:pPr>
      <w:ind w:left="0"/>
    </w:pPr>
  </w:style>
  <w:style w:type="paragraph" w:styleId="ndicedeilustraes">
    <w:name w:val="table of figures"/>
    <w:basedOn w:val="Normal"/>
    <w:next w:val="Normal"/>
    <w:semiHidden/>
    <w:rsid w:val="00093117"/>
  </w:style>
  <w:style w:type="paragraph" w:styleId="Sumrio2">
    <w:name w:val="toc 2"/>
    <w:basedOn w:val="Normal"/>
    <w:next w:val="Normal"/>
    <w:autoRedefine/>
    <w:uiPriority w:val="39"/>
    <w:rsid w:val="00093117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093117"/>
    <w:pPr>
      <w:ind w:left="480"/>
    </w:pPr>
  </w:style>
  <w:style w:type="character" w:styleId="Hyperlink">
    <w:name w:val="Hyperlink"/>
    <w:basedOn w:val="Fontepargpadro"/>
    <w:uiPriority w:val="99"/>
    <w:rsid w:val="00093117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093117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093117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093117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093117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093117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093117"/>
    <w:rPr>
      <w:sz w:val="16"/>
    </w:rPr>
  </w:style>
  <w:style w:type="character" w:styleId="Nmerodepgina">
    <w:name w:val="page number"/>
    <w:basedOn w:val="Fontepargpadro"/>
    <w:rsid w:val="00093117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093117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09311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093117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093117"/>
  </w:style>
  <w:style w:type="paragraph" w:styleId="Corpodetexto">
    <w:name w:val="Body Text"/>
    <w:basedOn w:val="Normal"/>
    <w:link w:val="CorpodetextoChar"/>
    <w:rsid w:val="00093117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093117"/>
    <w:rPr>
      <w:rFonts w:eastAsia="Arial Unicode MS"/>
    </w:rPr>
  </w:style>
  <w:style w:type="paragraph" w:customStyle="1" w:styleId="tabletext">
    <w:name w:val="tabletext"/>
    <w:basedOn w:val="Normal"/>
    <w:rsid w:val="00093117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093117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093117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093117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093117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093117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093117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093117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093117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093117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C89280-5BFD-424B-AE71-2D58526D57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6</TotalTime>
  <Pages>9</Pages>
  <Words>1040</Words>
  <Characters>6840</Characters>
  <Application>Microsoft Office Word</Application>
  <DocSecurity>0</DocSecurity>
  <Lines>57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7865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Nelson Brandão Luiz</cp:lastModifiedBy>
  <cp:revision>3</cp:revision>
  <cp:lastPrinted>2014-11-09T03:58:00Z</cp:lastPrinted>
  <dcterms:created xsi:type="dcterms:W3CDTF">2014-11-09T03:57:00Z</dcterms:created>
  <dcterms:modified xsi:type="dcterms:W3CDTF">2014-11-24T19:41:00Z</dcterms:modified>
</cp:coreProperties>
</file>